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DECLARAÇÃO DE CIÊNCIA E RESPONSABILIDADE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{{ nome_assistido }}, portador(a) do CPF nº {{ num_cpf }} e RG nº {{ num_rg }}, assistido(a) do caso número {{ num_caso }}, declaro-me ciente das alterações trazidas pela Lei n. 13.467/2017 e me responsabilizo pelo pagamento de eventuais honorários sucumbenciais, honorários periciais e custas processuais nas seguintes hipóteses: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Nos termos do art. 790-B, da CLT,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 parte vencida no objeto da perícia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ainda que beneficiária da justiça gratuita, será responsável pelos honorários periciais;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beneficiário da justiça gratuita que for vencido na reclamação trabalhista arcará com os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honorários de sucumbência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desde que não tenha obtido crédito em juízo capaz de suportar o ônus. Eventualmente, a obrigação ficará suspensa e poderá ser executada nos dois anos subsequentes, após o trânsito em julgado, caso deixe de existir a condição de hipossuficiência, conforme art. 791-A §4º, da CLT;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ausência do Reclamante na audiência inaugural implicará o pagamento de custas processuais, ainda que beneficiário da justiça gratuita, salvo se a ausência ocorrer por motivo legalmente justificável. O pagamento das referidas custas condicionará a propositura de nova ação trabalhista (art. 844, §3º, da CLT).</w:t>
      </w:r>
    </w:p>
    <w:p w:rsidR="00000000" w:rsidDel="00000000" w:rsidP="00000000" w:rsidRDefault="00000000" w:rsidRPr="00000000" w14:paraId="00000008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Declaro, ainda, que são verdadeiras as informações prestadas aos procuradores da Divisão de Assistência Judiciária Prof. Paulo Edson de Souza - UFMG para fins de ajuizamento de reclamação trabalhista.</w:t>
      </w:r>
    </w:p>
    <w:p w:rsidR="00000000" w:rsidDel="00000000" w:rsidP="00000000" w:rsidRDefault="00000000" w:rsidRPr="00000000" w14:paraId="00000009">
      <w:pPr>
        <w:spacing w:line="36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{{ cidade }}, {{ data }}.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</w:t>
      </w:r>
    </w:p>
    <w:p w:rsidR="00000000" w:rsidDel="00000000" w:rsidP="00000000" w:rsidRDefault="00000000" w:rsidRPr="00000000" w14:paraId="0000000D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{{ nome_assistido }}</w:t>
      </w:r>
    </w:p>
    <w:p w:rsidR="00000000" w:rsidDel="00000000" w:rsidP="00000000" w:rsidRDefault="00000000" w:rsidRPr="00000000" w14:paraId="0000000E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{{ num_cpf }}</w:t>
      </w:r>
    </w:p>
    <w:p w:rsidR="00000000" w:rsidDel="00000000" w:rsidP="00000000" w:rsidRDefault="00000000" w:rsidRPr="00000000" w14:paraId="0000000F">
      <w:pPr>
        <w:spacing w:after="0" w:line="36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RG: {{ num_rg }}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134" w:top="1134" w:left="1700.7874015748032" w:right="1144.1338582677172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bottom w:color="000000" w:space="1" w:sz="6" w:val="single"/>
      </w:pBdr>
      <w:spacing w:after="0" w:line="276" w:lineRule="auto"/>
      <w:jc w:val="center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  <w:tbl>
    <w:tblPr>
      <w:tblStyle w:val="Table1"/>
      <w:tblW w:w="9639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7797"/>
      <w:gridCol w:w="1842"/>
      <w:tblGridChange w:id="0">
        <w:tblGrid>
          <w:gridCol w:w="7797"/>
          <w:gridCol w:w="1842"/>
        </w:tblGrid>
      </w:tblGridChange>
    </w:tblGrid>
    <w:tr>
      <w:trPr>
        <w:trHeight w:val="500.35839843750006" w:hRule="atLeast"/>
      </w:trPr>
      <w:tc>
        <w:tcPr/>
        <w:p w:rsidR="00000000" w:rsidDel="00000000" w:rsidP="00000000" w:rsidRDefault="00000000" w:rsidRPr="00000000" w14:paraId="00000015">
          <w:pPr>
            <w:spacing w:after="0" w:line="276" w:lineRule="auto"/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Divisão de Assistência Judiciária Prof. Paulo Edson de Souza</w:t>
          </w:r>
        </w:p>
        <w:p w:rsidR="00000000" w:rsidDel="00000000" w:rsidP="00000000" w:rsidRDefault="00000000" w:rsidRPr="00000000" w14:paraId="00000016">
          <w:pPr>
            <w:spacing w:after="0" w:line="276" w:lineRule="auto"/>
            <w:rPr>
              <w:rFonts w:ascii="Times New Roman" w:cs="Times New Roman" w:eastAsia="Times New Roman" w:hAnsi="Times New Roman"/>
              <w:sz w:val="16"/>
              <w:szCs w:val="16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16"/>
              <w:szCs w:val="16"/>
              <w:rtl w:val="0"/>
            </w:rPr>
            <w:t xml:space="preserve">Av. João Pinheiro, nº 100 - Ed. Villas-Boas - 7º Andar, BH/MG, CEP 30.130-180, Tel: (31) 3409-8667</w:t>
          </w:r>
        </w:p>
      </w:tc>
      <w:tc>
        <w:tcPr>
          <w:vAlign w:val="center"/>
        </w:tcPr>
        <w:p w:rsidR="00000000" w:rsidDel="00000000" w:rsidP="00000000" w:rsidRDefault="00000000" w:rsidRPr="00000000" w14:paraId="00000017">
          <w:pPr>
            <w:spacing w:after="0" w:line="276" w:lineRule="auto"/>
            <w:rPr>
              <w:rFonts w:ascii="Cambria" w:cs="Cambria" w:eastAsia="Cambria" w:hAnsi="Cambria"/>
              <w:i w:val="1"/>
              <w:sz w:val="20"/>
              <w:szCs w:val="20"/>
            </w:rPr>
          </w:pP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Página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mbria" w:cs="Cambria" w:eastAsia="Cambria" w:hAnsi="Cambria"/>
              <w:i w:val="1"/>
              <w:sz w:val="20"/>
              <w:szCs w:val="20"/>
              <w:rtl w:val="0"/>
            </w:rPr>
            <w:t xml:space="preserve"> de </w:t>
          </w:r>
          <w:r w:rsidDel="00000000" w:rsidR="00000000" w:rsidRPr="00000000">
            <w:rPr>
              <w:rFonts w:ascii="Cambria" w:cs="Cambria" w:eastAsia="Cambria" w:hAnsi="Cambria"/>
              <w:b w:val="1"/>
              <w:i w:val="1"/>
              <w:sz w:val="20"/>
              <w:szCs w:val="20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sz w:val="4"/>
        <w:szCs w:val="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</w:t>
    </w:r>
    <w:r w:rsidDel="00000000" w:rsidR="00000000" w:rsidRPr="00000000">
      <w:rPr/>
      <w:drawing>
        <wp:inline distB="114300" distT="114300" distL="114300" distR="114300">
          <wp:extent cx="3816000" cy="900000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816000" cy="90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4"/>
        <w:szCs w:val="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