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  <w:r>
        <w:rPr>
          <w:rFonts w:ascii="Arial" w:hAnsi="Arial"/>
          <w:color w:val="1D5A6C"/>
          <w:sz w:val="36"/>
        </w:rPr>
        <w:t>Análise do Custo do Ciclo de Vida (LCC) de Equipamentos e Ativos Industriais</w:t>
      </w:r>
    </w:p>
    <w:p>
      <w:pPr>
        <w:spacing w:before="0" w:after="80"/>
      </w:pPr>
      <w:r>
        <w:rPr>
          <w:b/>
        </w:rPr>
        <w:t xml:space="preserve">Carga Horária: </w:t>
      </w:r>
      <w:r>
        <w:t>16 horas</w:t>
      </w:r>
    </w:p>
    <w:p>
      <w:pPr>
        <w:spacing w:before="0" w:after="120"/>
      </w:pPr>
      <w:r>
        <w:rPr>
          <w:b/>
        </w:rPr>
        <w:t xml:space="preserve">Público-Alvo: </w:t>
      </w:r>
      <w:r>
        <w:t>Engenheiros de Confiabilidade, Engenheiros de Manutenção, Engenheiros de Projetos, Especialistas de Gestão de Ativos, Planejadores, Compradores Técnicos e Gestores Industriais.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20" w:after="120"/>
      </w:pPr>
      <w:r>
        <w:rPr>
          <w:color w:val="1D5A6C"/>
          <w:sz w:val="30"/>
        </w:rPr>
        <w:t>Objetivo Geral</w:t>
      </w:r>
    </w:p>
    <w:p>
      <w:pPr>
        <w:spacing w:before="0" w:after="120" w:line="276" w:lineRule="auto"/>
      </w:pPr>
      <w:r>
        <w:t>Capacitar o Engenheiro de Confiabilidade e equipes multidisciplinares a desenvolver análises econômico-técnicas baseadas na metodologia de Custo do Ciclo de Vida (LCC/LCCA), integrando confiabilidade, RAM e matemática financeira para suportar decisões estratégicas de CAPEX, momento ótimo de substituição, overhaul e renovação de ativos.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1 – Fundamentos de LCC, Gestão de Ativos e Normas (4h)</w:t>
      </w:r>
    </w:p>
    <w:p>
      <w:pPr>
        <w:spacing w:before="80" w:after="40"/>
      </w:pPr>
      <w:r>
        <w:rPr>
          <w:b/>
          <w:color w:val="000000"/>
          <w:sz w:val="22"/>
        </w:rPr>
        <w:t>O Engenheiro de Confiabilidade na Decisão de Longo Prazo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Conceitos fundamentais: Life Cycle Cost (LCC), Life Cycle Cost Analysis (LCCA) e Total Cost of Ownership (TCO)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 ilusão do menor preço inicial de aquisição vs. custo total de sustentação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Alinhamento com a gestão de ativos: ISO 55001, IEC 60300 e diretrizes do IAM</w:t>
      </w:r>
    </w:p>
    <w:p>
      <w:pPr>
        <w:spacing w:before="80" w:after="40"/>
      </w:pPr>
      <w:r>
        <w:rPr>
          <w:b/>
          <w:color w:val="000000"/>
          <w:sz w:val="22"/>
        </w:rPr>
        <w:t>Fases do Ciclo de Vida e Estrutura de Custos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Planejamento e Engenharia: concepção, especificação técnica e confiabilidade inerente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Aquisição e Implantação (CAPEX inicial, instalação e comissionamento)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Operação e Manutenção (OPEX, insumos, utilidades e sobressalentes)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Descarte e Descomissionamento (descontaminação, transporte, alienação e valor residual)</w:t>
      </w:r>
    </w:p>
    <w:p>
      <w:pPr>
        <w:spacing w:before="80" w:after="40"/>
      </w:pPr>
      <w:r>
        <w:rPr>
          <w:b/>
          <w:color w:val="000000"/>
          <w:sz w:val="22"/>
        </w:rPr>
        <w:t>Estudo de Caso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Estruturação da árvore de custos de ciclo de vida para comparação entre dois fornecedores de bombas de grande porte.</w:t>
      </w:r>
    </w:p>
    <w:p>
      <w:pPr>
        <w:spacing w:before="80" w:after="80" w:line="276" w:lineRule="auto"/>
      </w:pPr>
      <w:r>
        <w:rPr>
          <w:color w:val="1A1A1A"/>
          <w:sz w:val="20"/>
        </w:rPr>
        <w:t>Decisões tomadas na fase de especificação e projeto travam até 80% dos custos que serão incorridos durante toda a vida operacional do ativo.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2 – Custos Ocultos, Confiabilidade e Impactos Operacionais (4h)</w:t>
      </w:r>
    </w:p>
    <w:p>
      <w:pPr>
        <w:spacing w:before="80" w:after="40"/>
      </w:pPr>
      <w:r>
        <w:rPr>
          <w:b/>
          <w:color w:val="000000"/>
          <w:sz w:val="22"/>
        </w:rPr>
        <w:t>Quantificação dos Custos da Não Confiabilidade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Custos da não-disponibilidade: perda de produção, lucro cessante e perdas de qualidade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Custos de falha não planejada: risco à segurança, meio ambiente e imagem corporativa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Custos da baixa manutenibilidade: sobressalentes especiais, excesso de mão de obra e tempo de reparo</w:t>
      </w:r>
    </w:p>
    <w:p>
      <w:pPr>
        <w:spacing w:before="80" w:after="40"/>
      </w:pPr>
      <w:r>
        <w:rPr>
          <w:b/>
          <w:color w:val="000000"/>
          <w:sz w:val="22"/>
        </w:rPr>
        <w:t>Integração LCC com Engenharia de Confiabilidade (RAM e RCM)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Impacto do MTBF e da taxa de falhas na projeção de custos operacionais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Estudos RAM (Reliability, Availability, Maintainability) alimentando o modelo de LCC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Integração com RCM e estratégias de manutenção preventiva, preditiva e corretiva</w:t>
      </w:r>
    </w:p>
    <w:p>
      <w:pPr>
        <w:spacing w:before="80" w:after="40"/>
      </w:pPr>
      <w:r>
        <w:rPr>
          <w:b/>
          <w:color w:val="000000"/>
          <w:sz w:val="22"/>
        </w:rPr>
        <w:t>Custos de Obsolescência Tecnológica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Descontinuação de componentes por fabricantes e escassez de peças de reposição</w:t>
      </w:r>
    </w:p>
    <w:p>
      <w:pPr>
        <w:spacing w:before="80" w:after="40"/>
      </w:pPr>
      <w:r>
        <w:rPr>
          <w:b/>
          <w:color w:val="000000"/>
          <w:sz w:val="22"/>
        </w:rPr>
        <w:t>Estudo de Caso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Modelagem do custo de indisponibilidade e impacto da taxa de falhas no custo total de um sistema de compressão crítica.</w:t>
      </w:r>
    </w:p>
    <w:p>
      <w:pPr>
        <w:spacing w:before="80" w:after="80" w:line="276" w:lineRule="auto"/>
      </w:pPr>
      <w:r>
        <w:rPr>
          <w:color w:val="1A1A1A"/>
          <w:sz w:val="20"/>
        </w:rPr>
        <w:t>O custo oculto da baixa confiabilidade e das perdas de produção frequentemente supera o valor original de aquisição do equipamento.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3 – Engenharia Econômica Aplicada e Modelos de Decisão (4h)</w:t>
      </w:r>
    </w:p>
    <w:p>
      <w:pPr>
        <w:spacing w:before="80" w:after="40"/>
      </w:pPr>
      <w:r>
        <w:rPr>
          <w:b/>
          <w:color w:val="000000"/>
          <w:sz w:val="22"/>
        </w:rPr>
        <w:t>Matemática Financeira Aplicada a Ativos Industriais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Valor do dinheiro no tempo: Valor Presente Líquido (VPL) e Fluxo de Caixa Descontado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Taxa Mínima de Atratividade (TMA), inflação e cálculo do Custo Anual Uniforme Equivalente (CAUE)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Indicadores complementares: Payback Simples e Descontado, TIR e ROI</w:t>
      </w:r>
    </w:p>
    <w:p>
      <w:pPr>
        <w:spacing w:before="80" w:after="40"/>
      </w:pPr>
      <w:r>
        <w:rPr>
          <w:b/>
          <w:color w:val="000000"/>
          <w:sz w:val="22"/>
        </w:rPr>
        <w:t>Matriz de Decisão Técnica e Econômica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Avaliação econômica de alternativas: Comprar novo vs. Reformar / Overhaul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Retrofit e Modernização vs. Substituição Completa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Determinação econômica do Time Between Overhaul (TBO)</w:t>
      </w:r>
    </w:p>
    <w:p>
      <w:pPr>
        <w:spacing w:before="80" w:after="40"/>
      </w:pPr>
      <w:r>
        <w:rPr>
          <w:b/>
          <w:color w:val="000000"/>
          <w:sz w:val="22"/>
        </w:rPr>
        <w:t>Momento Ótimo de Renovação / Substituição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Construção da curva econômica de vida útil (custos de posse decrescentes × custos de manutenção/falhas crescentes)</w:t>
      </w:r>
    </w:p>
    <w:p>
      <w:pPr>
        <w:spacing w:before="80" w:after="40"/>
      </w:pPr>
      <w:r>
        <w:rPr>
          <w:b/>
          <w:color w:val="000000"/>
          <w:sz w:val="22"/>
        </w:rPr>
        <w:t>Exercício Prático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Modelagem de fluxo de caixa para tomada de decisão entre realizar overhaul em turbina a gás ou substituir por unidade de alta eficiência.</w:t>
      </w:r>
    </w:p>
    <w:p>
      <w:pPr>
        <w:spacing w:before="80" w:after="80" w:line="276" w:lineRule="auto"/>
      </w:pPr>
      <w:r>
        <w:rPr>
          <w:color w:val="1A1A1A"/>
          <w:sz w:val="20"/>
        </w:rPr>
        <w:t>A matemática financeira fornece a fundamentação quantitativa indispensável para defender tecnicamente investimentos perante a diretoria financeira.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4 – Análise de Riscos, Sensibilidade e Apresentação de CAPEX (4h)</w:t>
      </w:r>
    </w:p>
    <w:p>
      <w:pPr>
        <w:spacing w:before="80" w:after="40"/>
      </w:pPr>
      <w:r>
        <w:rPr>
          <w:b/>
          <w:color w:val="000000"/>
          <w:sz w:val="22"/>
        </w:rPr>
        <w:t>Modelagem de Incertezas e Análise de Risco Econômico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Simulação de cenários: Cenário Conservador, Provável e Agressivo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Análise de Sensibilidade para variáveis críticas (preço de energia, MTBF, produção e taxa de desconto)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Avaliação de robustez da decisão sob condições de incerteza de mercado</w:t>
      </w:r>
    </w:p>
    <w:p>
      <w:pPr>
        <w:spacing w:before="80" w:after="40"/>
      </w:pPr>
      <w:r>
        <w:rPr>
          <w:b/>
          <w:color w:val="000000"/>
          <w:sz w:val="22"/>
        </w:rPr>
        <w:t>Ferramentas Computacionais e Dashboards de LCC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Modelagem em planilhas analíticas e integração com sistemas EAM/CMMS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Estruturação de Dashboards de LCC: projeção de CAPEX, OPEX e Roadmap de Investimentos</w:t>
      </w:r>
    </w:p>
    <w:p>
      <w:pPr>
        <w:spacing w:before="80" w:after="40"/>
      </w:pPr>
      <w:r>
        <w:rPr>
          <w:b/>
          <w:color w:val="000000"/>
          <w:sz w:val="22"/>
        </w:rPr>
        <w:t>Construção do Business Case e Apresentação Executiva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Como estruturar a justificativa técnica e econômica para aprovação de CAPEX e gestão de ativos</w:t>
      </w:r>
    </w:p>
    <w:p>
      <w:pPr>
        <w:spacing w:before="80" w:after="40"/>
      </w:pPr>
      <w:r>
        <w:rPr>
          <w:b/>
          <w:color w:val="000000"/>
          <w:sz w:val="22"/>
        </w:rPr>
        <w:t>Exercício Prático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Simulação completa de sensibilidade em planilha de LCCA e elaboração do sumário executivo para comitê de investimentos.</w:t>
      </w:r>
    </w:p>
    <w:p>
      <w:pPr>
        <w:spacing w:before="80" w:after="80" w:line="276" w:lineRule="auto"/>
      </w:pPr>
      <w:r>
        <w:rPr>
          <w:color w:val="1A1A1A"/>
          <w:sz w:val="20"/>
        </w:rPr>
        <w:t>Uma análise de LCC robusta é a ponte definitiva que conecta a engenharia de confiabilidade ao comitê executivo e à geração de valor sustentável.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20" w:after="120"/>
      </w:pPr>
      <w:r>
        <w:rPr>
          <w:color w:val="1D5A6C"/>
          <w:sz w:val="30"/>
        </w:rPr>
        <w:t>Resultados Esperados</w:t>
      </w:r>
    </w:p>
    <w:p>
      <w:pPr>
        <w:spacing w:before="0" w:after="80"/>
      </w:pPr>
      <w:r>
        <w:t>Ao final do treinamento, o participante deverá ser capaz de: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Aplicar os métodos de LCC e TCO conforme normas internacionais (ISO 55001 e IEC 60300);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Mapear todos os custos diretos, indiretos e ocultos ao longo do ciclo de vida dos ativos;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Integrar parâmetros de confiabilidade (MTBF, MTTR e estudos RAM) em projeções econômicas de OPEX;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Aplicar matemática financeira (VPL, TIR, CAUE) para tomada de decisão técnica fundamentada;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Calcular o momento econômico ótimo de renovação, retrofit ou overhaul de equipamentos críticos;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Conduzir análises de sensibilidade e cenários de risco para suportar decisões de CAPEX junto à liderança executiva.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