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</w:pPr>
      <w:r>
        <w:rPr>
          <w:rFonts w:ascii="Arial" w:hAnsi="Arial"/>
          <w:color w:val="1D5A6C"/>
          <w:sz w:val="36"/>
        </w:rPr>
        <w:t>Indicadores de Manutenção e Desempenho de Ativos Industriais</w:t>
      </w:r>
    </w:p>
    <w:p>
      <w:pPr>
        <w:spacing w:before="0" w:after="80"/>
      </w:pPr>
      <w:r>
        <w:rPr>
          <w:b/>
        </w:rPr>
        <w:t xml:space="preserve">Carga Horária: </w:t>
      </w:r>
      <w:r>
        <w:t>12 horas</w:t>
      </w:r>
    </w:p>
    <w:p>
      <w:pPr>
        <w:spacing w:before="0" w:after="120"/>
      </w:pPr>
      <w:r>
        <w:rPr>
          <w:b/>
        </w:rPr>
        <w:t xml:space="preserve">Público-Alvo: </w:t>
      </w:r>
      <w:r>
        <w:t>Engenheiros de Confiabilidade, Engenheiros de Manutenção, Planejadores, Programadores, Supervisores, Coordenadores e Gestores de Ativos.</w:t>
      </w:r>
    </w:p>
    <w:p>
      <w:pPr>
        <w:spacing w:before="80" w:after="240"/>
        <w:pBdr>
          <w:bottom w:val="single" w:sz="8" w:space="1" w:color="000000"/>
        </w:pBdr>
      </w:pPr>
    </w:p>
    <w:p>
      <w:pPr>
        <w:spacing w:before="120" w:after="120"/>
      </w:pPr>
      <w:r>
        <w:rPr>
          <w:color w:val="1D5A6C"/>
          <w:sz w:val="30"/>
        </w:rPr>
        <w:t>Objetivo Geral</w:t>
      </w:r>
    </w:p>
    <w:p>
      <w:pPr>
        <w:spacing w:before="0" w:after="120" w:line="276" w:lineRule="auto"/>
      </w:pPr>
      <w:r>
        <w:t>Capacitar o Engenheiro de Confiabilidade e gestores técnicos a selecionar, calcular com rigor matemático, correlacionar e interpretar estrategicamente os indicadores de desempenho e confiabilidade, transformando dados operacionais em decisões assertivas de governança, aumento de maturidade e eliminação de defeitos.</w:t>
      </w:r>
    </w:p>
    <w:p>
      <w:pPr>
        <w:spacing w:before="80" w:after="240"/>
        <w:pBdr>
          <w:bottom w:val="single" w:sz="8" w:space="1" w:color="000000"/>
        </w:pBdr>
      </w:pPr>
    </w:p>
    <w:p>
      <w:pPr>
        <w:spacing w:before="160" w:after="120"/>
      </w:pPr>
      <w:r>
        <w:rPr>
          <w:color w:val="1D5A6C"/>
          <w:sz w:val="28"/>
        </w:rPr>
        <w:t>Módulo 1 – Alinhamento Estratégico, Maturidade e Métricas de Confiabilidade (3h)</w:t>
      </w:r>
    </w:p>
    <w:p>
      <w:pPr>
        <w:spacing w:before="80" w:after="40"/>
      </w:pPr>
      <w:r>
        <w:rPr>
          <w:b/>
          <w:color w:val="000000"/>
          <w:sz w:val="22"/>
        </w:rPr>
        <w:t>O Engenheiro de Confiabilidade e a Gestão por Indicadores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Diferenciação conceitual: Dado × Informação × Indicador × KPI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Alinhamento da pirâmide de métricas: Estratégicas (Negócio) × Táticas (Gestão) × Operacionais (Ativos)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Aderência dos indicadores aos níveis de maturidade (Reativa, Planejada, Preventiva, Preditiva e Confiabilidade)</w:t>
      </w:r>
    </w:p>
    <w:p>
      <w:pPr>
        <w:spacing w:before="80" w:after="40"/>
      </w:pPr>
      <w:r>
        <w:rPr>
          <w:b/>
          <w:color w:val="000000"/>
          <w:sz w:val="22"/>
        </w:rPr>
        <w:t>Métricas Essenciais de Performance de Ativos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Confiabilidade e Taxa de Falhas (λ)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Disponibilidade e suas vertentes: Física, Intrínseca e Operacional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Manutenibilidade e Suportabilidade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Overall Equipment Effectiveness (OEE) e perdas associadas</w:t>
      </w:r>
    </w:p>
    <w:p>
      <w:pPr>
        <w:spacing w:before="80" w:after="40"/>
      </w:pPr>
      <w:r>
        <w:rPr>
          <w:b/>
          <w:color w:val="000000"/>
          <w:sz w:val="22"/>
        </w:rPr>
        <w:t>Estudo de Caso Integrado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Aplicação prática: Diagnóstico de nível de maturidade e seleção de cesta de KPIs para planta de processo contínuo.</w:t>
      </w:r>
    </w:p>
    <w:p>
      <w:pPr>
        <w:spacing w:before="80" w:after="80" w:line="276" w:lineRule="auto"/>
      </w:pPr>
      <w:r>
        <w:rPr>
          <w:color w:val="1A1A1A"/>
          <w:sz w:val="20"/>
        </w:rPr>
        <w:t>Os indicadores devem refletir o nível de maturidade da planta e servir como bússola para a transição do modelo reativo para o proativo de confiabilidade.</w:t>
      </w:r>
    </w:p>
    <w:p>
      <w:pPr>
        <w:spacing w:before="80" w:after="240"/>
        <w:pBdr>
          <w:bottom w:val="single" w:sz="8" w:space="1" w:color="000000"/>
        </w:pBdr>
      </w:pPr>
    </w:p>
    <w:p>
      <w:pPr>
        <w:spacing w:before="160" w:after="120"/>
      </w:pPr>
      <w:r>
        <w:rPr>
          <w:color w:val="1D5A6C"/>
          <w:sz w:val="28"/>
        </w:rPr>
        <w:t>Módulo 2 – Formulação Matemática, Limitações e Armadilhas de KPIs (3h)</w:t>
      </w:r>
    </w:p>
    <w:p>
      <w:pPr>
        <w:spacing w:before="80" w:after="40"/>
      </w:pPr>
      <w:r>
        <w:rPr>
          <w:b/>
          <w:color w:val="000000"/>
          <w:sz w:val="22"/>
        </w:rPr>
        <w:t>Formulação e Premissas de Cálculo de Confiabilidade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MTBF (Mean Time Between Failures): cálculo correto, distinção para reparáveis vs. não reparáveis (MTTF) e expurgo de paradas programadas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MTTR (Mean Time to Repair): tempo líquido de reparo vs. tempos logísticos/administrativos (MWT)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Disponibilidade: cálculo por estado operacional vs. cálculo via MTBF / (MTBF + MTTR)</w:t>
      </w:r>
    </w:p>
    <w:p>
      <w:pPr>
        <w:spacing w:before="80" w:after="40"/>
      </w:pPr>
      <w:r>
        <w:rPr>
          <w:b/>
          <w:color w:val="000000"/>
          <w:sz w:val="22"/>
        </w:rPr>
        <w:t>Métricas de Eficiência do Processo e Mão de Obra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Backlog: dimensionamento em semanas padrão e interpretação de tendências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Schedule Compliance e Work Order Compliance: fórmulas e causas de desvio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Produtividade da mão de obra e Wrench Time (tempo de ferramenta no corte)</w:t>
      </w:r>
    </w:p>
    <w:p>
      <w:pPr>
        <w:spacing w:before="80" w:after="40"/>
      </w:pPr>
      <w:r>
        <w:rPr>
          <w:b/>
          <w:color w:val="000000"/>
          <w:sz w:val="22"/>
        </w:rPr>
        <w:t>Armadilhas Analíticas e Limitações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O que o indicador não mostra: média que mascara dispersão, falsos positivos e falsos negativos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Integridade do dado de entrada no CMMS: lixo entra, lixo sai (GIGO)</w:t>
      </w:r>
    </w:p>
    <w:p>
      <w:pPr>
        <w:spacing w:before="80" w:after="40"/>
      </w:pPr>
      <w:r>
        <w:rPr>
          <w:b/>
          <w:color w:val="000000"/>
          <w:sz w:val="22"/>
        </w:rPr>
        <w:t>Exercício Prático Integrado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Aplicação prática: Saneamento de base de dados brutos de OS e cálculo comparativo de MTBF, MTTR e Disponibilidade eliminando distorções.</w:t>
      </w:r>
    </w:p>
    <w:p>
      <w:pPr>
        <w:spacing w:before="80" w:after="80" w:line="276" w:lineRule="auto"/>
      </w:pPr>
      <w:r>
        <w:rPr>
          <w:color w:val="1A1A1A"/>
          <w:sz w:val="20"/>
        </w:rPr>
        <w:t>O domínio das premissas matemáticas e dos limites de cada KPI evita conclusões equivocadas e direciona investimentos com precisão.</w:t>
      </w:r>
    </w:p>
    <w:p>
      <w:pPr>
        <w:spacing w:before="80" w:after="240"/>
        <w:pBdr>
          <w:bottom w:val="single" w:sz="8" w:space="1" w:color="000000"/>
        </w:pBdr>
      </w:pPr>
    </w:p>
    <w:p>
      <w:pPr>
        <w:spacing w:before="160" w:after="120"/>
      </w:pPr>
      <w:r>
        <w:rPr>
          <w:color w:val="1D5A6C"/>
          <w:sz w:val="28"/>
        </w:rPr>
        <w:t>Módulo 3 – Correlação de Indicadores, Diagnóstico e Benchmarking (3h)</w:t>
      </w:r>
    </w:p>
    <w:p>
      <w:pPr>
        <w:spacing w:before="80" w:after="40"/>
      </w:pPr>
      <w:r>
        <w:rPr>
          <w:b/>
          <w:color w:val="000000"/>
          <w:sz w:val="22"/>
        </w:rPr>
        <w:t>Análise Cruzada e Correlação de Métricas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Correlação MTBF × Disponibilidade × Custo de Manutenção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Relação MTTR × Backlog × Produtividade de Equipes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Wrench Time × Aderência à Programação × Retrabalho</w:t>
      </w:r>
    </w:p>
    <w:p>
      <w:pPr>
        <w:spacing w:before="80" w:after="40"/>
      </w:pPr>
      <w:r>
        <w:rPr>
          <w:b/>
          <w:color w:val="000000"/>
          <w:sz w:val="22"/>
        </w:rPr>
        <w:t>Análise de Desvios e Priorização Técnica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Análise de tendências, variabilidade e sazonalidade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Identificação de Bad Actors (equipamentos ofensores) via curva de Pareto e criticidade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Indicadores como gatilho imediato para RCA, FMEA e Defect Elimination</w:t>
      </w:r>
    </w:p>
    <w:p>
      <w:pPr>
        <w:spacing w:before="80" w:after="40"/>
      </w:pPr>
      <w:r>
        <w:rPr>
          <w:b/>
          <w:color w:val="000000"/>
          <w:sz w:val="22"/>
        </w:rPr>
        <w:t>Benchmarking e Avaliação de Lacunas (Gaps)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Benchmarking interno, externo e setorial (Best-in-Class)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Gap Analysis e Radar de KPIs para priorização de melhorias</w:t>
      </w:r>
    </w:p>
    <w:p>
      <w:pPr>
        <w:spacing w:before="80" w:after="40"/>
      </w:pPr>
      <w:r>
        <w:rPr>
          <w:b/>
          <w:color w:val="000000"/>
          <w:sz w:val="22"/>
        </w:rPr>
        <w:t>Estudo de Caso Integrado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Aplicação prática: Diagnóstico de perda de disponibilidade de uma frota crítica por meio da correlação de MTBF, MTTR e custos de sobressalentes.</w:t>
      </w:r>
    </w:p>
    <w:p>
      <w:pPr>
        <w:spacing w:before="80" w:after="80" w:line="276" w:lineRule="auto"/>
      </w:pPr>
      <w:r>
        <w:rPr>
          <w:color w:val="1A1A1A"/>
          <w:sz w:val="20"/>
        </w:rPr>
        <w:t>Indicadores isolados geram miopia operacional; a correlação analítica entre métricas é a ferramenta diagnóstica mais poderosa da Confiabilidade.</w:t>
      </w:r>
    </w:p>
    <w:p>
      <w:pPr>
        <w:spacing w:before="80" w:after="240"/>
        <w:pBdr>
          <w:bottom w:val="single" w:sz="8" w:space="1" w:color="000000"/>
        </w:pBdr>
      </w:pPr>
    </w:p>
    <w:p>
      <w:pPr>
        <w:spacing w:before="160" w:after="120"/>
      </w:pPr>
      <w:r>
        <w:rPr>
          <w:color w:val="1D5A6C"/>
          <w:sz w:val="28"/>
        </w:rPr>
        <w:t>Módulo 4 – Governança de Dados, Dashboards e Comunicação Executiva (3h)</w:t>
      </w:r>
    </w:p>
    <w:p>
      <w:pPr>
        <w:spacing w:before="80" w:after="40"/>
      </w:pPr>
      <w:r>
        <w:rPr>
          <w:b/>
          <w:color w:val="000000"/>
          <w:sz w:val="22"/>
        </w:rPr>
        <w:t>Governança e Rotinas de Gestão por Indicadores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Rituais de acompanhamento: reuniões diárias (DDS), semanais e mensais de desempenho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Eliminação de KPIs sem utilidade e foco em métricas que direcionam ação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Gestão à vista e cultura orientada a dados</w:t>
      </w:r>
    </w:p>
    <w:p>
      <w:pPr>
        <w:spacing w:before="80" w:after="40"/>
      </w:pPr>
      <w:r>
        <w:rPr>
          <w:b/>
          <w:color w:val="000000"/>
          <w:sz w:val="22"/>
        </w:rPr>
        <w:t>Ferramentas de Análise, BI e Visualização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Integração CMMS/EAM (SAP PM, Maximo, TOTVS) com ferramentas de BI (Power BI, Tableau)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Recursos visuais analíticos: Histogramas, Gráficos de Controle e Heat Maps</w:t>
      </w:r>
    </w:p>
    <w:p>
      <w:pPr>
        <w:spacing w:before="80" w:after="40"/>
      </w:pPr>
      <w:r>
        <w:rPr>
          <w:b/>
          <w:color w:val="000000"/>
          <w:sz w:val="22"/>
        </w:rPr>
        <w:t>Comunicação Executiva por Níveis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Painel Operacional (Supervisão): aderência ao plano, paradas e backlog imediato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Painel Tático (Coordenação/Engenharia): MTBF, MTTR, causas de falha e Defect Elimination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Painel Executivo (Diretoria/Gerência): risco operacional, LCC, custo unitário e disponibilidade global</w:t>
      </w:r>
    </w:p>
    <w:p>
      <w:pPr>
        <w:spacing w:before="80" w:after="40"/>
      </w:pPr>
      <w:r>
        <w:rPr>
          <w:b/>
          <w:color w:val="000000"/>
          <w:sz w:val="22"/>
        </w:rPr>
        <w:t>Exercício Prático Integrado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Aplicação prática: Estruturação do layout de um dashboard executivo e definição de protocolo de gatilhos automáticos de atuação da Engenharia.</w:t>
      </w:r>
    </w:p>
    <w:p>
      <w:pPr>
        <w:spacing w:before="80" w:after="80" w:line="276" w:lineRule="auto"/>
      </w:pPr>
      <w:r>
        <w:rPr>
          <w:color w:val="1A1A1A"/>
          <w:sz w:val="20"/>
        </w:rPr>
        <w:t>A eficácia da gestão por indicadores atinge seu ápice quando os dados são comunicados na linguagem correta de cada nível decisório e geram ação corretiva imediata.</w:t>
      </w:r>
    </w:p>
    <w:p>
      <w:pPr>
        <w:spacing w:before="80" w:after="240"/>
        <w:pBdr>
          <w:bottom w:val="single" w:sz="8" w:space="1" w:color="000000"/>
        </w:pBdr>
      </w:pPr>
    </w:p>
    <w:p>
      <w:pPr>
        <w:spacing w:before="120" w:after="120"/>
      </w:pPr>
      <w:r>
        <w:rPr>
          <w:color w:val="1D5A6C"/>
          <w:sz w:val="30"/>
        </w:rPr>
        <w:t>Resultados Esperados</w:t>
      </w:r>
    </w:p>
    <w:p>
      <w:pPr>
        <w:spacing w:before="0" w:after="80"/>
      </w:pPr>
      <w:r>
        <w:t>Ao final do treinamento, o participante deverá ser capaz de: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Selecionar e parametrizar a cesta ideal de indicadores para cada nível de maturidade da manutenção;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Calcular com rigor matemático e sem distorções MTBF, MTTR, Disponibilidade, OEE e Backlog;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Identificar desvios, tendências e anomalias correlacionando múltiplos indicadores;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Utilizar métricas como gatilhos objetivos para investigações de causa raiz (RCA) e revisão de FMEA;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Estruturar dashboards integrados no Power BI/CMMS orientados para a tomada de decisão técnica e executiva;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Estabelecer rotinas de governança de dados e comunicação em todos os níveis hierárquicos.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