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Modelo de Custos da Transformação Digital</w:t>
      </w:r>
    </w:p>
    <w:p>
      <w:r>
        <w:rPr>
          <w:b/>
          <w:i/>
          <w:color w:val="555555"/>
          <w:sz w:val="24"/>
        </w:rPr>
        <w:t>Mensuração automatizada, contínua e orientada por dados para a Administração Pública.</w:t>
      </w:r>
    </w:p>
    <w:p>
      <w:pPr>
        <w:jc w:val="both"/>
      </w:pPr>
      <w:r>
        <w:t>Uma metodologia desenvolvida pela Secretaria de Governo Digital (SGD) para identificar e mensurar os impactos econômicos, sociais e ambientais da digitalização de serviços públicos.</w:t>
      </w:r>
    </w:p>
    <w:p>
      <w:pPr>
        <w:pStyle w:val="Heading1"/>
      </w:pPr>
      <w:r>
        <w:t>Breve Histórico</w:t>
      </w:r>
    </w:p>
    <w:p>
      <w:pPr>
        <w:jc w:val="both"/>
      </w:pPr>
      <w:r>
        <w:t>Modelos de custos consistem em estruturas analíticas e matemáticas destinadas à identificação e mensuração dos custos associados a normas, atividades e processos, sendo amplamente utilizados em diversos países. Entre os principais referenciais internacionais, destaca-se o Standard Cost Model (SCM), criado na Holanda no início dos anos 2000 para medir o custo da burocracia imposta pela regulação. A experiência foi bem-sucedida e o modelo passou a ser adotado pela Comissão Europeia e recomendado pela OCDE como padrão de mensuração.</w:t>
      </w:r>
    </w:p>
    <w:p>
      <w:pPr>
        <w:jc w:val="both"/>
      </w:pPr>
      <w:r>
        <w:t>No Brasil, com o objetivo de mensurar a economia de custos decorrente da digitalização de serviços públicos, a Secretaria de Governo Digital (SGD) desenvolveu, a partir de 2019, diversas iniciativas: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Iniciativa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2019</w:t>
            </w:r>
          </w:p>
        </w:tc>
        <w:tc>
          <w:tcPr>
            <w:tcW w:type="dxa" w:w="4320"/>
          </w:tcPr>
          <w:p>
            <w:r>
              <w:t>Início das iniciativas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2020</w:t>
            </w:r>
          </w:p>
        </w:tc>
        <w:tc>
          <w:tcPr>
            <w:tcW w:type="dxa" w:w="4320"/>
          </w:tcPr>
          <w:p>
            <w:r>
              <w:t>Calculadora de Interoperabilidade (CONECTAGOV)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2022</w:t>
            </w:r>
          </w:p>
        </w:tc>
        <w:tc>
          <w:tcPr>
            <w:tcW w:type="dxa" w:w="4320"/>
          </w:tcPr>
          <w:p>
            <w:r>
              <w:t>Guia Prático – Modelo de Custos de Serviços Públicos (SGD)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2025</w:t>
            </w:r>
          </w:p>
        </w:tc>
        <w:tc>
          <w:tcPr>
            <w:tcW w:type="dxa" w:w="4320"/>
          </w:tcPr>
          <w:p>
            <w:r>
              <w:t>Relatório Final da Proposta de Modelo de Custos de Serviços Públicos (SGD/UFMG)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Atual</w:t>
            </w:r>
          </w:p>
        </w:tc>
        <w:tc>
          <w:tcPr>
            <w:tcW w:type="dxa" w:w="4320"/>
          </w:tcPr>
          <w:p>
            <w:r>
              <w:t>Referencial unificado — Modelo de Custos Aplicado à Digitalização</w:t>
            </w:r>
          </w:p>
        </w:tc>
      </w:tr>
    </w:tbl>
    <w:p>
      <w:pPr>
        <w:jc w:val="both"/>
      </w:pPr>
      <w:r>
        <w:t>Como cada iniciativa abordou a temática sob perspectivas distintas, somada à necessidade de um estudo mais abrangente e atualizado, o Modelo atual consolida os elementos relevantes das iniciativas anteriores em uma metodologia única, integrando com os dados estruturados do Portal Gov.br e possibilitando a replicabilidade por Estados e Municípios.</w:t>
      </w:r>
    </w:p>
    <w:p>
      <w:pPr>
        <w:pStyle w:val="Heading1"/>
      </w:pPr>
      <w:r>
        <w:t>Automação e Evolução Orgânica</w:t>
      </w:r>
    </w:p>
    <w:p>
      <w:pPr>
        <w:jc w:val="both"/>
      </w:pPr>
      <w:r>
        <w:t>O principal diferencial deste Modelo é a utilização do Portal Gov.br como fonte primária e direta de dados. Diferente de abordagens anteriores que dependiam de estimativas manuais enviadas por gestores, este sistema extrai e processa dados estruturados na origem.</w:t>
      </w:r>
    </w:p>
    <w:p>
      <w:pPr>
        <w:pStyle w:val="ListBullet"/>
      </w:pPr>
      <w:r>
        <w:rPr>
          <w:b/>
        </w:rPr>
        <w:t xml:space="preserve">Sem formulários manuais: </w:t>
      </w:r>
      <w:r>
        <w:t>Extingue a necessidade de coleta de dados semiestruturados ou baseados na memória gerencial de órgãos públicos.</w:t>
      </w:r>
    </w:p>
    <w:p>
      <w:pPr>
        <w:pStyle w:val="ListBullet"/>
      </w:pPr>
      <w:r>
        <w:rPr>
          <w:b/>
        </w:rPr>
        <w:t xml:space="preserve">Precisão evolutiva: </w:t>
      </w:r>
      <w:r>
        <w:t>A acurácia das estimativas cresce proporcionalmente ao amadurecimento e à melhoria das descrições dos serviços no Portal Gov.br.</w:t>
      </w:r>
    </w:p>
    <w:p>
      <w:pPr>
        <w:pStyle w:val="ListBullet"/>
      </w:pPr>
      <w:r>
        <w:rPr>
          <w:b/>
        </w:rPr>
        <w:t xml:space="preserve">Atualização periódica: </w:t>
      </w:r>
      <w:r>
        <w:t>O modelo monitora de forma contínua o volume de solicitações, gerando um histórico dinâmico de economia para o Estado e para a sociedade.</w:t>
      </w:r>
    </w:p>
    <w:p>
      <w:pPr>
        <w:spacing w:before="120" w:after="120"/>
        <w:ind w:left="240" w:right="240"/>
        <w:shd w:val="clear" w:color="auto" w:fill="F2F2F2"/>
      </w:pPr>
      <w:r>
        <w:rPr>
          <w:b/>
        </w:rPr>
        <w:t xml:space="preserve">Fontes: </w:t>
      </w:r>
      <w:r>
        <w:t>os dados estruturados vêm da página de serviços do Governo Federal (https://www.gov.br/pt-br/servicos) e de dados complementares do próprio Portal Gov.br.</w:t>
      </w:r>
    </w:p>
    <w:p>
      <w:pPr>
        <w:pStyle w:val="Heading1"/>
      </w:pPr>
      <w:r>
        <w:t>O Serviço como Pilar Central</w:t>
      </w:r>
    </w:p>
    <w:p>
      <w:pPr>
        <w:jc w:val="both"/>
      </w:pPr>
      <w:r>
        <w:t>O Modelo estabelece o Serviço Público como unidade básica de importância e cálculo. Por ser a unidade central de interação no Gov.br, focar no serviço garante escalabilidade e permite que cada entrega à população seja mensurada de forma individualizada. Para isso, o Modelo adota um conjunto padronizado de etapas aplicáveis a qualquer serviço, composto por:</w:t>
      </w:r>
    </w:p>
    <w:p>
      <w:pPr>
        <w:pStyle w:val="ListNumber"/>
      </w:pPr>
      <w:r>
        <w:rPr>
          <w:b/>
        </w:rPr>
        <w:t xml:space="preserve">Buscar Informações — </w:t>
      </w:r>
      <w:r>
        <w:t>Atividade do usuário para compreender os requisitos do serviço. No cenário digital, elimina o atendimento presencial e o deslocamento físico, sendo contabilizada apenas uma vez por serviço.</w:t>
      </w:r>
    </w:p>
    <w:p>
      <w:pPr>
        <w:pStyle w:val="ListNumber"/>
      </w:pPr>
      <w:r>
        <w:rPr>
          <w:b/>
        </w:rPr>
        <w:t xml:space="preserve">Coletar Documentos — </w:t>
      </w:r>
      <w:r>
        <w:t>Reunião de insumos necessários pelo usuário. O modelo adota a premissa prudente de que o cidadão já possui os documentos, medindo exclusivamente o tempo de localização interna.</w:t>
      </w:r>
    </w:p>
    <w:p>
      <w:pPr>
        <w:pStyle w:val="ListNumber"/>
      </w:pPr>
      <w:r>
        <w:rPr>
          <w:b/>
        </w:rPr>
        <w:t xml:space="preserve">Solicitar Serviço — </w:t>
      </w:r>
      <w:r>
        <w:t>Entrega de dados e preenchimento de formulários. O tempo varia conforme a quantidade de documentos exigidos e a presença de validações automatizadas via integração de dados.</w:t>
      </w:r>
    </w:p>
    <w:p>
      <w:pPr>
        <w:pStyle w:val="ListNumber"/>
      </w:pPr>
      <w:r>
        <w:rPr>
          <w:b/>
        </w:rPr>
        <w:t xml:space="preserve">Receber Serviço — </w:t>
      </w:r>
      <w:r>
        <w:t>Obtenção do resultado final de forma online, extinguindo a necessidade de interações físicas e entregas em suporte de papel.</w:t>
      </w:r>
    </w:p>
    <w:p>
      <w:pPr>
        <w:spacing w:before="120" w:after="120"/>
        <w:ind w:left="240" w:right="240"/>
        <w:shd w:val="clear" w:color="auto" w:fill="F2F2F2"/>
      </w:pPr>
      <w:r>
        <w:rPr>
          <w:b/>
        </w:rPr>
        <w:t xml:space="preserve">Nota: </w:t>
      </w:r>
      <w:r>
        <w:t>cada serviço poderá conter uma ou mais ocorrências dessas etapas ou mesmo não contemplar determinada etapa, conforme sua natureza. Essa padronização garante flexibilidade e uniformidade metodológica, permitindo que os tempos de execução variem conforme as especificidades do serviço. As etapas são classificadas automaticamente nas macroetapas Solicitar e Receber.</w:t>
      </w:r>
    </w:p>
    <w:p>
      <w:pPr>
        <w:pStyle w:val="Heading1"/>
      </w:pPr>
      <w:r>
        <w:t>Engenharia e Operacionalização do Modelo</w:t>
      </w:r>
    </w:p>
    <w:p>
      <w:pPr>
        <w:jc w:val="both"/>
      </w:pPr>
      <w:r>
        <w:t>O processamento percorre cinco estágios funcionais, da captura dos dados brutos à consolidação visual dos indicadores.</w:t>
      </w:r>
    </w:p>
    <w:p>
      <w:pPr>
        <w:pStyle w:val="ListNumber"/>
      </w:pPr>
      <w:r>
        <w:rPr>
          <w:b/>
        </w:rPr>
        <w:t xml:space="preserve">Extração automatizada — </w:t>
      </w:r>
      <w:r>
        <w:t>Captura de dados brutos tabulares e estruturados em formato JSON a partir do Portal Gov.br.</w:t>
      </w:r>
    </w:p>
    <w:p>
      <w:pPr>
        <w:pStyle w:val="ListNumber"/>
      </w:pPr>
      <w:r>
        <w:rPr>
          <w:b/>
        </w:rPr>
        <w:t xml:space="preserve">Tratamento léxico — </w:t>
      </w:r>
      <w:r>
        <w:t>Limpeza de caracteres e normalização de textos inseridos nos serviços do Portal Gov.br.</w:t>
      </w:r>
    </w:p>
    <w:p>
      <w:pPr>
        <w:pStyle w:val="ListNumber"/>
      </w:pPr>
      <w:r>
        <w:rPr>
          <w:b/>
        </w:rPr>
        <w:t xml:space="preserve">Classificação preditiva — </w:t>
      </w:r>
      <w:r>
        <w:t>Análise linguística feita por algoritmos (IA) que processam os verbos das descrições dos serviços do Portal Gov.br, categorizando as ações entre as macroetapas Solicitar e Receber.</w:t>
      </w:r>
    </w:p>
    <w:p>
      <w:pPr>
        <w:pStyle w:val="ListNumber"/>
      </w:pPr>
      <w:r>
        <w:rPr>
          <w:b/>
        </w:rPr>
        <w:t xml:space="preserve">Mensuração multidimensional — </w:t>
      </w:r>
      <w:r>
        <w:t>Aplicação de fórmulas integrando tempo, quantidade de documentos e volume de uso detectado via API de Avaliação da Qualidade dos Serviços do Portal Gov.br, além de variáveis globais e atualizadas que complementam as estimativas.</w:t>
      </w:r>
    </w:p>
    <w:p>
      <w:pPr>
        <w:pStyle w:val="ListNumber"/>
      </w:pPr>
      <w:r>
        <w:rPr>
          <w:b/>
        </w:rPr>
        <w:t xml:space="preserve">Painel estratégico — </w:t>
      </w:r>
      <w:r>
        <w:t>Consolidação de todas as métricas em painéis de BI, garantindo a transparência ativa e o acesso aos dados.</w:t>
      </w:r>
    </w:p>
    <w:p>
      <w:pPr>
        <w:pStyle w:val="Heading1"/>
      </w:pPr>
      <w:r>
        <w:t>Mensuração Além dos Custos Financeiros</w:t>
      </w:r>
    </w:p>
    <w:p>
      <w:pPr>
        <w:jc w:val="both"/>
      </w:pPr>
      <w:r>
        <w:t>O modelo cruza dados específicos de serviços com variáveis globais do ecossistema. Todo o cálculo baseia-se no princípio da prudência (estimativas conservadoras), garantindo que os resultados econômicos apresentados sejam sempre subestimados para evitar efeito de superavaliação.</w:t>
      </w:r>
    </w:p>
    <w:p>
      <w:pPr>
        <w:pStyle w:val="ListBullet"/>
      </w:pPr>
      <w:r>
        <w:rPr>
          <w:b/>
        </w:rPr>
        <w:t xml:space="preserve">Perspectiva econômica: </w:t>
      </w:r>
      <w:r>
        <w:t>Ganho de eficiência administrativa do Governo e redução de custos de deslocamento, transporte e oportunidade para a Sociedade.</w:t>
      </w:r>
    </w:p>
    <w:p>
      <w:pPr>
        <w:pStyle w:val="ListBullet"/>
      </w:pPr>
      <w:r>
        <w:rPr>
          <w:b/>
        </w:rPr>
        <w:t xml:space="preserve">Impacto social: </w:t>
      </w:r>
      <w:r>
        <w:t>Mensuração do ganho de bem-estar social em horas livres devolvidas ao cidadão, redução da congestão urbana e diminuição da assimetria informacional.</w:t>
      </w:r>
    </w:p>
    <w:p>
      <w:pPr>
        <w:pStyle w:val="ListBullet"/>
      </w:pPr>
      <w:r>
        <w:rPr>
          <w:b/>
        </w:rPr>
        <w:t xml:space="preserve">Impacto ambiental: </w:t>
      </w:r>
      <w:r>
        <w:t>Indicadores físicos que medem a mitigação do desmatamento (redução do uso de papel), diminuição de emissões de CO₂ na atmosfera e controle do consumo energético institucional.</w:t>
      </w:r>
    </w:p>
    <w:p>
      <w:pPr>
        <w:pStyle w:val="Heading1"/>
      </w:pPr>
      <w:r>
        <w:t>Tomada de Decisão Baseada em Evidências</w:t>
      </w:r>
    </w:p>
    <w:p>
      <w:pPr>
        <w:jc w:val="both"/>
      </w:pPr>
      <w:r>
        <w:t>Os resultados do modelo são disponibilizados em um painel interativo (Power BI), permitindo segmentações dinâmicas. Este referencial técnico foi desenhado para ser totalmente replicável por entes subnacionais (estados e municípios), estimulando a homogeneidade de critérios, fortalecendo a Governança Digital em toda a Federação e promovendo a tomada de decisão da Política Pública baseada em evidências.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333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333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3333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