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F3864"/>
          <w:sz w:val="48"/>
          <w:szCs w:val="48"/>
        </w:rPr>
        <w:t xml:space="preserve">DEFENSIVE PUBLICATION</w:t>
      </w:r>
    </w:p>
    <w:p>
      <w:pPr>
        <w:spacing w:after="200"/>
        <w:jc w:val="center"/>
      </w:pPr>
      <w:r>
        <w:rPr>
          <w:rFonts w:ascii="Arial" w:cs="Arial" w:eastAsia="Arial" w:hAnsi="Arial"/>
          <w:b/>
          <w:bCs/>
          <w:sz w:val="32"/>
          <w:szCs w:val="32"/>
        </w:rPr>
        <w:t xml:space="preserve">Ambient and Environmental Sensor Networks for Mental Health Monitoring, Cognitive Decline Detection, and Psychiatric Event Prediction</w:t>
      </w:r>
    </w:p>
    <w:p>
      <w:pPr>
        <w:spacing w:after="160"/>
        <w:jc w:val="center"/>
      </w:pPr>
      <w:r>
        <w:rPr>
          <w:rFonts w:ascii="Arial" w:cs="Arial" w:eastAsia="Arial" w:hAnsi="Arial"/>
          <w:i/>
          <w:iCs/>
          <w:color w:val="555555"/>
          <w:sz w:val="26"/>
          <w:szCs w:val="26"/>
        </w:rPr>
        <w:t xml:space="preserve">An Open Research Prior Art Disclosure — Companion to Wearable Systems Disclosure</w:t>
      </w:r>
    </w:p>
    <w:p>
      <w:pPr>
        <w:spacing w:after="480"/>
        <w:jc w:val="center"/>
      </w:pPr>
      <w:r>
        <w:rPr>
          <w:rFonts w:ascii="Arial" w:cs="Arial" w:eastAsia="Arial" w:hAnsi="Arial"/>
          <w:color w:val="777777"/>
          <w:sz w:val="22"/>
          <w:szCs w:val="22"/>
        </w:rPr>
        <w:t xml:space="preserve">Publication Date: February 25, 2026  |  License: CC0 1.0 Universal (Public Domain Dedication)</w:t>
      </w:r>
    </w:p>
    <w:p>
      <w:pPr>
        <w:pStyle w:val="Heading1"/>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This document constitutes a defensive publication establishing prior art across the full design space of ambient, environmental, and consumer device sensor networks employed for the purpose of monitoring, detecting, or predicting mental health conditions, cognitive decline, and psychiatric events in human subjects. It is a companion document to the wearable device disclosure of the same date and is intended to be read in conjunction with it.</w:t>
      </w:r>
    </w:p>
    <w:p>
      <w:pPr>
        <w:spacing w:after="160"/>
      </w:pPr>
      <w:r>
        <w:rPr>
          <w:rFonts w:ascii="Arial" w:cs="Arial" w:eastAsia="Arial" w:hAnsi="Arial"/>
          <w:sz w:val="24"/>
          <w:szCs w:val="24"/>
        </w:rPr>
        <w:t xml:space="preserve">The core thesis of this disclosure is that consumer-grade devices already present in homes, workplaces, and public spaces — including smartphones, smart speakers, security cameras, video doorbells, smart televisions, thermostats, routers, and similar internet-of-things (IoT) devices — produce continuous operational telemetry, audio, video, and behavioral interaction data that, individually and in aggregate, constitute a rich signal space from which mental health status, cognitive function, and psychiatric deterioration can be inferred. Critically, this disclosure covers not only the content of data produced by these devices (audio recordings, video footage) but also metadata and operational characteristics including device usage patterns, response latency, interaction frequency, settings changes, error rates, network activity, and API call patterns as independent inference channels.</w:t>
      </w:r>
    </w:p>
    <w:p>
      <w:pPr>
        <w:spacing w:after="160"/>
      </w:pPr>
      <w:r>
        <w:rPr>
          <w:rFonts w:ascii="Arial" w:cs="Arial" w:eastAsia="Arial" w:hAnsi="Arial"/>
          <w:sz w:val="24"/>
          <w:szCs w:val="24"/>
        </w:rPr>
        <w:t xml:space="preserve">All system architectures, algorithms, sensor fusion strategies, inference methods, and applications described herein are dedicated to the public domain. Any individual, organization, or research team may implement any concept described in this document without risk of patent litigation from any party who reviewed this document prior to filing.</w:t>
      </w:r>
    </w:p>
    <w:p>
      <w:pPr>
        <w:spacing w:after="120"/>
      </w:pPr>
      <w:r>
        <w:t xml:space="preserve"/>
      </w:r>
    </w:p>
    <w:p>
      <w:pPr>
        <w:pStyle w:val="Heading1"/>
      </w:pPr>
      <w:r>
        <w:rPr>
          <w:rFonts w:ascii="Arial" w:cs="Arial" w:eastAsia="Arial" w:hAnsi="Arial"/>
          <w:b/>
          <w:bCs/>
          <w:sz w:val="32"/>
          <w:szCs w:val="32"/>
        </w:rPr>
        <w:t xml:space="preserve">1. Smartphones and Mobile Devices</w:t>
      </w:r>
    </w:p>
    <w:p>
      <w:pPr>
        <w:spacing w:after="160"/>
      </w:pPr>
      <w:r>
        <w:rPr>
          <w:rFonts w:ascii="Arial" w:cs="Arial" w:eastAsia="Arial" w:hAnsi="Arial"/>
          <w:sz w:val="24"/>
          <w:szCs w:val="24"/>
        </w:rPr>
        <w:t xml:space="preserve">The smartphone represents the highest-density ambient sensor platform currently in widespread consumer deployment. Beyond its explicit sensor suite, the patterns of interaction with the device itself constitute a high-dimensional behavioral fingerprint.</w:t>
      </w:r>
    </w:p>
    <w:p>
      <w:pPr>
        <w:pStyle w:val="Heading2"/>
      </w:pPr>
      <w:r>
        <w:rPr>
          <w:rFonts w:ascii="Arial" w:cs="Arial" w:eastAsia="Arial" w:hAnsi="Arial"/>
          <w:b/>
          <w:bCs/>
          <w:sz w:val="28"/>
          <w:szCs w:val="28"/>
        </w:rPr>
        <w:t xml:space="preserve">1.1 Smartphone Hardware Sensors as Mental Health Signals</w:t>
      </w:r>
    </w:p>
    <w:p>
      <w:pPr>
        <w:pStyle w:val="ListParagraph"/>
        <w:numPr>
          <w:ilvl w:val="0"/>
          <w:numId w:val="2"/>
        </w:numPr>
        <w:spacing w:after="80"/>
      </w:pPr>
      <w:r>
        <w:rPr>
          <w:rFonts w:ascii="Arial" w:cs="Arial" w:eastAsia="Arial" w:hAnsi="Arial"/>
          <w:sz w:val="24"/>
          <w:szCs w:val="24"/>
        </w:rPr>
        <w:t xml:space="preserve">Accelerometer and gyroscope data from continuous background sampling for gait analysis, tremor detection, postural sway, hand tremor, and gross motor behavioral classification without any application foreground activity, including detection of changes in these metrics over days to months as markers of cognitive or psychiatric deterioration.</w:t>
      </w:r>
    </w:p>
    <w:p>
      <w:pPr>
        <w:pStyle w:val="ListParagraph"/>
        <w:numPr>
          <w:ilvl w:val="0"/>
          <w:numId w:val="2"/>
        </w:numPr>
        <w:spacing w:after="80"/>
      </w:pPr>
      <w:r>
        <w:rPr>
          <w:rFonts w:ascii="Arial" w:cs="Arial" w:eastAsia="Arial" w:hAnsi="Arial"/>
          <w:sz w:val="24"/>
          <w:szCs w:val="24"/>
        </w:rPr>
        <w:t xml:space="preserve">GPS and GNSS location traces for mobility pattern analysis including radius of gyration, number of distinct places visited per day, time at home versus away, frequency of novel location visits, regularity of daily routine, and detection of mobility restriction as a depression or psychosis marker.</w:t>
      </w:r>
    </w:p>
    <w:p>
      <w:pPr>
        <w:pStyle w:val="ListParagraph"/>
        <w:numPr>
          <w:ilvl w:val="0"/>
          <w:numId w:val="2"/>
        </w:numPr>
        <w:spacing w:after="80"/>
      </w:pPr>
      <w:r>
        <w:rPr>
          <w:rFonts w:ascii="Arial" w:cs="Arial" w:eastAsia="Arial" w:hAnsi="Arial"/>
          <w:sz w:val="24"/>
          <w:szCs w:val="24"/>
        </w:rPr>
        <w:t xml:space="preserve">Barometric pressure logging for floor-level indoor positioning providing finer-grained location context than GPS alone.</w:t>
      </w:r>
    </w:p>
    <w:p>
      <w:pPr>
        <w:pStyle w:val="ListParagraph"/>
        <w:numPr>
          <w:ilvl w:val="0"/>
          <w:numId w:val="2"/>
        </w:numPr>
        <w:spacing w:after="80"/>
      </w:pPr>
      <w:r>
        <w:rPr>
          <w:rFonts w:ascii="Arial" w:cs="Arial" w:eastAsia="Arial" w:hAnsi="Arial"/>
          <w:sz w:val="24"/>
          <w:szCs w:val="24"/>
        </w:rPr>
        <w:t xml:space="preserve">Proximity sensor activation patterns logging frequency and duration of face-to-device proximity as a proxy for phone call activity and social interaction.</w:t>
      </w:r>
    </w:p>
    <w:p>
      <w:pPr>
        <w:pStyle w:val="ListParagraph"/>
        <w:numPr>
          <w:ilvl w:val="0"/>
          <w:numId w:val="2"/>
        </w:numPr>
        <w:spacing w:after="80"/>
      </w:pPr>
      <w:r>
        <w:rPr>
          <w:rFonts w:ascii="Arial" w:cs="Arial" w:eastAsia="Arial" w:hAnsi="Arial"/>
          <w:sz w:val="24"/>
          <w:szCs w:val="24"/>
        </w:rPr>
        <w:t xml:space="preserve">Ambient light sensor logs for inferring circadian light exposure, time spent outdoors, and screen-on behavior correlated with sleep timing.</w:t>
      </w:r>
    </w:p>
    <w:p>
      <w:pPr>
        <w:pStyle w:val="ListParagraph"/>
        <w:numPr>
          <w:ilvl w:val="0"/>
          <w:numId w:val="2"/>
        </w:numPr>
        <w:spacing w:after="80"/>
      </w:pPr>
      <w:r>
        <w:rPr>
          <w:rFonts w:ascii="Arial" w:cs="Arial" w:eastAsia="Arial" w:hAnsi="Arial"/>
          <w:sz w:val="24"/>
          <w:szCs w:val="24"/>
        </w:rPr>
        <w:t xml:space="preserve">Magnetometer readings for indoor orientation and context inference.</w:t>
      </w:r>
    </w:p>
    <w:p>
      <w:pPr>
        <w:pStyle w:val="ListParagraph"/>
        <w:numPr>
          <w:ilvl w:val="0"/>
          <w:numId w:val="2"/>
        </w:numPr>
        <w:spacing w:after="80"/>
      </w:pPr>
      <w:r>
        <w:rPr>
          <w:rFonts w:ascii="Arial" w:cs="Arial" w:eastAsia="Arial" w:hAnsi="Arial"/>
          <w:sz w:val="24"/>
          <w:szCs w:val="24"/>
        </w:rPr>
        <w:t xml:space="preserve">Microphone-derived features — processed entirely on-device — including voice activity detection frequency, call duration distributions, vocal energy and prosody metrics without content transcription, ambient noise environment classification, and detection of atypical vocal patterns correlated with depression, mania, or cognitive decline.</w:t>
      </w:r>
    </w:p>
    <w:p>
      <w:pPr>
        <w:pStyle w:val="ListParagraph"/>
        <w:numPr>
          <w:ilvl w:val="0"/>
          <w:numId w:val="2"/>
        </w:numPr>
        <w:spacing w:after="80"/>
      </w:pPr>
      <w:r>
        <w:rPr>
          <w:rFonts w:ascii="Arial" w:cs="Arial" w:eastAsia="Arial" w:hAnsi="Arial"/>
          <w:sz w:val="24"/>
          <w:szCs w:val="24"/>
        </w:rPr>
        <w:t xml:space="preserve">Front and rear camera-derived features including face detection presence/absence for social interaction inference, ambient illumination for circadian context, and optionally remote PPG (rPPG) extracted from facial video for heart rate and HRV estimation without any contact sensor.</w:t>
      </w:r>
    </w:p>
    <w:p>
      <w:pPr>
        <w:pStyle w:val="ListParagraph"/>
        <w:numPr>
          <w:ilvl w:val="0"/>
          <w:numId w:val="2"/>
        </w:numPr>
        <w:spacing w:after="80"/>
      </w:pPr>
      <w:r>
        <w:rPr>
          <w:rFonts w:ascii="Arial" w:cs="Arial" w:eastAsia="Arial" w:hAnsi="Arial"/>
          <w:sz w:val="24"/>
          <w:szCs w:val="24"/>
        </w:rPr>
        <w:t xml:space="preserve">Wi-Fi and Bluetooth scan logs for passive detection of social proximity (other devices nearby), home/work/other context inference, and router interaction as a sleep timing proxy.</w:t>
      </w:r>
    </w:p>
    <w:p>
      <w:pPr>
        <w:pStyle w:val="ListParagraph"/>
        <w:numPr>
          <w:ilvl w:val="0"/>
          <w:numId w:val="2"/>
        </w:numPr>
        <w:spacing w:after="80"/>
      </w:pPr>
      <w:r>
        <w:rPr>
          <w:rFonts w:ascii="Arial" w:cs="Arial" w:eastAsia="Arial" w:hAnsi="Arial"/>
          <w:sz w:val="24"/>
          <w:szCs w:val="24"/>
        </w:rPr>
        <w:t xml:space="preserve">NFC and UWB interaction logs as behavioral context markers.</w:t>
      </w:r>
    </w:p>
    <w:p>
      <w:pPr>
        <w:spacing w:after="120"/>
      </w:pPr>
      <w:r>
        <w:t xml:space="preserve"/>
      </w:r>
    </w:p>
    <w:p>
      <w:pPr>
        <w:pStyle w:val="Heading2"/>
      </w:pPr>
      <w:r>
        <w:rPr>
          <w:rFonts w:ascii="Arial" w:cs="Arial" w:eastAsia="Arial" w:hAnsi="Arial"/>
          <w:b/>
          <w:bCs/>
          <w:sz w:val="28"/>
          <w:szCs w:val="28"/>
        </w:rPr>
        <w:t xml:space="preserve">1.2 Smartphone Interaction Metadata as Cognitive and Psychiatric Biomarkers</w:t>
      </w:r>
    </w:p>
    <w:p>
      <w:pPr>
        <w:spacing w:after="160"/>
      </w:pPr>
      <w:r>
        <w:rPr>
          <w:rFonts w:ascii="Arial" w:cs="Arial" w:eastAsia="Arial" w:hAnsi="Arial"/>
          <w:sz w:val="24"/>
          <w:szCs w:val="24"/>
        </w:rPr>
        <w:t xml:space="preserve">The following operational and interaction patterns, independent of any content, constitute inferential signals for mental health status:</w:t>
      </w:r>
    </w:p>
    <w:p>
      <w:pPr>
        <w:pStyle w:val="ListParagraph"/>
        <w:numPr>
          <w:ilvl w:val="0"/>
          <w:numId w:val="2"/>
        </w:numPr>
        <w:spacing w:after="80"/>
      </w:pPr>
      <w:r>
        <w:rPr>
          <w:rFonts w:ascii="Arial" w:cs="Arial" w:eastAsia="Arial" w:hAnsi="Arial"/>
          <w:sz w:val="24"/>
          <w:szCs w:val="24"/>
        </w:rPr>
        <w:t xml:space="preserve">Screen unlock frequency, duration per session, and time-of-day distribution as proxies for rumination, anxiety, sleep disturbance, and behavioral activation level.</w:t>
      </w:r>
    </w:p>
    <w:p>
      <w:pPr>
        <w:pStyle w:val="ListParagraph"/>
        <w:numPr>
          <w:ilvl w:val="0"/>
          <w:numId w:val="2"/>
        </w:numPr>
        <w:spacing w:after="80"/>
      </w:pPr>
      <w:r>
        <w:rPr>
          <w:rFonts w:ascii="Arial" w:cs="Arial" w:eastAsia="Arial" w:hAnsi="Arial"/>
          <w:sz w:val="24"/>
          <w:szCs w:val="24"/>
        </w:rPr>
        <w:t xml:space="preserve">Application usage patterns including categories of applications used (social media, entertainment, productivity, health), time spent per application, and changes in application preference over time correlated with depression, mania, and cognitive decline.</w:t>
      </w:r>
    </w:p>
    <w:p>
      <w:pPr>
        <w:pStyle w:val="ListParagraph"/>
        <w:numPr>
          <w:ilvl w:val="0"/>
          <w:numId w:val="2"/>
        </w:numPr>
        <w:spacing w:after="80"/>
      </w:pPr>
      <w:r>
        <w:rPr>
          <w:rFonts w:ascii="Arial" w:cs="Arial" w:eastAsia="Arial" w:hAnsi="Arial"/>
          <w:sz w:val="24"/>
          <w:szCs w:val="24"/>
        </w:rPr>
        <w:t xml:space="preserve">Typing speed, error rate, backspace frequency, autocorrect acceptance rate, and inter-key latency as fine motor and cognitive processing speed biomarkers detectable via keyboard telemetry without content access.</w:t>
      </w:r>
    </w:p>
    <w:p>
      <w:pPr>
        <w:pStyle w:val="ListParagraph"/>
        <w:numPr>
          <w:ilvl w:val="0"/>
          <w:numId w:val="2"/>
        </w:numPr>
        <w:spacing w:after="80"/>
      </w:pPr>
      <w:r>
        <w:rPr>
          <w:rFonts w:ascii="Arial" w:cs="Arial" w:eastAsia="Arial" w:hAnsi="Arial"/>
          <w:sz w:val="24"/>
          <w:szCs w:val="24"/>
        </w:rPr>
        <w:t xml:space="preserve">Scrolling speed, scroll acceleration, and tap pressure as attention and motor control metrics.</w:t>
      </w:r>
    </w:p>
    <w:p>
      <w:pPr>
        <w:pStyle w:val="ListParagraph"/>
        <w:numPr>
          <w:ilvl w:val="0"/>
          <w:numId w:val="2"/>
        </w:numPr>
        <w:spacing w:after="80"/>
      </w:pPr>
      <w:r>
        <w:rPr>
          <w:rFonts w:ascii="Arial" w:cs="Arial" w:eastAsia="Arial" w:hAnsi="Arial"/>
          <w:sz w:val="24"/>
          <w:szCs w:val="24"/>
        </w:rPr>
        <w:t xml:space="preserve">Notification response latency — time from notification arrival to interaction — as a psychomotor speed and engagement metric.</w:t>
      </w:r>
    </w:p>
    <w:p>
      <w:pPr>
        <w:pStyle w:val="ListParagraph"/>
        <w:numPr>
          <w:ilvl w:val="0"/>
          <w:numId w:val="2"/>
        </w:numPr>
        <w:spacing w:after="80"/>
      </w:pPr>
      <w:r>
        <w:rPr>
          <w:rFonts w:ascii="Arial" w:cs="Arial" w:eastAsia="Arial" w:hAnsi="Arial"/>
          <w:sz w:val="24"/>
          <w:szCs w:val="24"/>
        </w:rPr>
        <w:t xml:space="preserve">Call initiation versus receipt ratio, call duration, and call frequency as social engagement metrics.</w:t>
      </w:r>
    </w:p>
    <w:p>
      <w:pPr>
        <w:pStyle w:val="ListParagraph"/>
        <w:numPr>
          <w:ilvl w:val="0"/>
          <w:numId w:val="2"/>
        </w:numPr>
        <w:spacing w:after="80"/>
      </w:pPr>
      <w:r>
        <w:rPr>
          <w:rFonts w:ascii="Arial" w:cs="Arial" w:eastAsia="Arial" w:hAnsi="Arial"/>
          <w:sz w:val="24"/>
          <w:szCs w:val="24"/>
        </w:rPr>
        <w:t xml:space="preserve">SMS and messaging application send frequency, message length distribution, response latency, and emoji usage patterns as linguistic and social biomarkers.</w:t>
      </w:r>
    </w:p>
    <w:p>
      <w:pPr>
        <w:pStyle w:val="ListParagraph"/>
        <w:numPr>
          <w:ilvl w:val="0"/>
          <w:numId w:val="2"/>
        </w:numPr>
        <w:spacing w:after="80"/>
      </w:pPr>
      <w:r>
        <w:rPr>
          <w:rFonts w:ascii="Arial" w:cs="Arial" w:eastAsia="Arial" w:hAnsi="Arial"/>
          <w:sz w:val="24"/>
          <w:szCs w:val="24"/>
        </w:rPr>
        <w:t xml:space="preserve">Browser session duration, tab switching rate, and search query complexity as attention and cognitive engagement metrics, processed as metadata without content logging.</w:t>
      </w:r>
    </w:p>
    <w:p>
      <w:pPr>
        <w:pStyle w:val="ListParagraph"/>
        <w:numPr>
          <w:ilvl w:val="0"/>
          <w:numId w:val="2"/>
        </w:numPr>
        <w:spacing w:after="80"/>
      </w:pPr>
      <w:r>
        <w:rPr>
          <w:rFonts w:ascii="Arial" w:cs="Arial" w:eastAsia="Arial" w:hAnsi="Arial"/>
          <w:sz w:val="24"/>
          <w:szCs w:val="24"/>
        </w:rPr>
        <w:t xml:space="preserve">Application installation and deletion patterns as behavioral indicators of interest, motivation, and impulse control.</w:t>
      </w:r>
    </w:p>
    <w:p>
      <w:pPr>
        <w:pStyle w:val="ListParagraph"/>
        <w:numPr>
          <w:ilvl w:val="0"/>
          <w:numId w:val="2"/>
        </w:numPr>
        <w:spacing w:after="80"/>
      </w:pPr>
      <w:r>
        <w:rPr>
          <w:rFonts w:ascii="Arial" w:cs="Arial" w:eastAsia="Arial" w:hAnsi="Arial"/>
          <w:sz w:val="24"/>
          <w:szCs w:val="24"/>
        </w:rPr>
        <w:t xml:space="preserve">Charging behavior — time plugged in, charging frequency, battery drain rate — as a proxy for routine consistency and activity level.</w:t>
      </w:r>
    </w:p>
    <w:p>
      <w:pPr>
        <w:pStyle w:val="ListParagraph"/>
        <w:numPr>
          <w:ilvl w:val="0"/>
          <w:numId w:val="2"/>
        </w:numPr>
        <w:spacing w:after="80"/>
      </w:pPr>
      <w:r>
        <w:rPr>
          <w:rFonts w:ascii="Arial" w:cs="Arial" w:eastAsia="Arial" w:hAnsi="Arial"/>
          <w:sz w:val="24"/>
          <w:szCs w:val="24"/>
        </w:rPr>
        <w:t xml:space="preserve">Phone call voice-to-silence ratio, interruption frequency, and turn-taking patterns in conversation as social cognition metrics.</w:t>
      </w:r>
    </w:p>
    <w:p>
      <w:pPr>
        <w:pStyle w:val="ListParagraph"/>
        <w:numPr>
          <w:ilvl w:val="0"/>
          <w:numId w:val="2"/>
        </w:numPr>
        <w:spacing w:after="80"/>
      </w:pPr>
      <w:r>
        <w:rPr>
          <w:rFonts w:ascii="Arial" w:cs="Arial" w:eastAsia="Arial" w:hAnsi="Arial"/>
          <w:sz w:val="24"/>
          <w:szCs w:val="24"/>
        </w:rPr>
        <w:t xml:space="preserve">Error-induced phone interactions such as repeated failed unlock attempts as cognitive performance markers.</w:t>
      </w:r>
    </w:p>
    <w:p>
      <w:pPr>
        <w:pStyle w:val="ListParagraph"/>
        <w:numPr>
          <w:ilvl w:val="0"/>
          <w:numId w:val="2"/>
        </w:numPr>
        <w:spacing w:after="80"/>
      </w:pPr>
      <w:r>
        <w:rPr>
          <w:rFonts w:ascii="Arial" w:cs="Arial" w:eastAsia="Arial" w:hAnsi="Arial"/>
          <w:sz w:val="24"/>
          <w:szCs w:val="24"/>
        </w:rPr>
        <w:t xml:space="preserve">Alarm setting and snooze behavior as sleep intention and self-regulation metrics.</w:t>
      </w:r>
    </w:p>
    <w:p>
      <w:pPr>
        <w:pStyle w:val="ListParagraph"/>
        <w:numPr>
          <w:ilvl w:val="0"/>
          <w:numId w:val="2"/>
        </w:numPr>
        <w:spacing w:after="80"/>
      </w:pPr>
      <w:r>
        <w:rPr>
          <w:rFonts w:ascii="Arial" w:cs="Arial" w:eastAsia="Arial" w:hAnsi="Arial"/>
          <w:sz w:val="24"/>
          <w:szCs w:val="24"/>
        </w:rPr>
        <w:t xml:space="preserve">Contact diversity in communications — number of distinct individuals communicated with per week — as a social network health proxy.</w:t>
      </w:r>
    </w:p>
    <w:p>
      <w:pPr>
        <w:spacing w:after="120"/>
      </w:pPr>
      <w:r>
        <w:t xml:space="preserve"/>
      </w:r>
    </w:p>
    <w:p>
      <w:pPr>
        <w:pStyle w:val="Heading2"/>
      </w:pPr>
      <w:r>
        <w:rPr>
          <w:rFonts w:ascii="Arial" w:cs="Arial" w:eastAsia="Arial" w:hAnsi="Arial"/>
          <w:b/>
          <w:bCs/>
          <w:sz w:val="28"/>
          <w:szCs w:val="28"/>
        </w:rPr>
        <w:t xml:space="preserve">1.3 Smartphone System-Level Telemetry</w:t>
      </w:r>
    </w:p>
    <w:p>
      <w:pPr>
        <w:pStyle w:val="ListParagraph"/>
        <w:numPr>
          <w:ilvl w:val="0"/>
          <w:numId w:val="2"/>
        </w:numPr>
        <w:spacing w:after="80"/>
      </w:pPr>
      <w:r>
        <w:rPr>
          <w:rFonts w:ascii="Arial" w:cs="Arial" w:eastAsia="Arial" w:hAnsi="Arial"/>
          <w:sz w:val="24"/>
          <w:szCs w:val="24"/>
        </w:rPr>
        <w:t xml:space="preserve">Device reboot frequency and timing as a marker of unusual user behavior or software-induced distress.</w:t>
      </w:r>
    </w:p>
    <w:p>
      <w:pPr>
        <w:pStyle w:val="ListParagraph"/>
        <w:numPr>
          <w:ilvl w:val="0"/>
          <w:numId w:val="2"/>
        </w:numPr>
        <w:spacing w:after="80"/>
      </w:pPr>
      <w:r>
        <w:rPr>
          <w:rFonts w:ascii="Arial" w:cs="Arial" w:eastAsia="Arial" w:hAnsi="Arial"/>
          <w:sz w:val="24"/>
          <w:szCs w:val="24"/>
        </w:rPr>
        <w:t xml:space="preserve">Battery drain rate anomalies potentially correlated with unusual usage patterns during manic or depressive episodes.</w:t>
      </w:r>
    </w:p>
    <w:p>
      <w:pPr>
        <w:pStyle w:val="ListParagraph"/>
        <w:numPr>
          <w:ilvl w:val="0"/>
          <w:numId w:val="2"/>
        </w:numPr>
        <w:spacing w:after="80"/>
      </w:pPr>
      <w:r>
        <w:rPr>
          <w:rFonts w:ascii="Arial" w:cs="Arial" w:eastAsia="Arial" w:hAnsi="Arial"/>
          <w:sz w:val="24"/>
          <w:szCs w:val="24"/>
        </w:rPr>
        <w:t xml:space="preserve">App crash frequency as a proxy for atypical usage patterns or degraded device interaction.</w:t>
      </w:r>
    </w:p>
    <w:p>
      <w:pPr>
        <w:pStyle w:val="ListParagraph"/>
        <w:numPr>
          <w:ilvl w:val="0"/>
          <w:numId w:val="2"/>
        </w:numPr>
        <w:spacing w:after="80"/>
      </w:pPr>
      <w:r>
        <w:rPr>
          <w:rFonts w:ascii="Arial" w:cs="Arial" w:eastAsia="Arial" w:hAnsi="Arial"/>
          <w:sz w:val="24"/>
          <w:szCs w:val="24"/>
        </w:rPr>
        <w:t xml:space="preserve">Permission grant and revocation patterns for privacy-sensitive sensors as a potential paranoia or hypervigilance proxy.</w:t>
      </w:r>
    </w:p>
    <w:p>
      <w:pPr>
        <w:pStyle w:val="ListParagraph"/>
        <w:numPr>
          <w:ilvl w:val="0"/>
          <w:numId w:val="2"/>
        </w:numPr>
        <w:spacing w:after="80"/>
      </w:pPr>
      <w:r>
        <w:rPr>
          <w:rFonts w:ascii="Arial" w:cs="Arial" w:eastAsia="Arial" w:hAnsi="Arial"/>
          <w:sz w:val="24"/>
          <w:szCs w:val="24"/>
        </w:rPr>
        <w:t xml:space="preserve">Network data consumption patterns by application category correlated with behavioral state changes.</w:t>
      </w:r>
    </w:p>
    <w:p>
      <w:pPr>
        <w:pStyle w:val="ListParagraph"/>
        <w:numPr>
          <w:ilvl w:val="0"/>
          <w:numId w:val="2"/>
        </w:numPr>
        <w:spacing w:after="80"/>
      </w:pPr>
      <w:r>
        <w:rPr>
          <w:rFonts w:ascii="Arial" w:cs="Arial" w:eastAsia="Arial" w:hAnsi="Arial"/>
          <w:sz w:val="24"/>
          <w:szCs w:val="24"/>
        </w:rPr>
        <w:t xml:space="preserve">Do Not Disturb and airplane mode activation patterns as social withdrawal or sleep behavior indicators.</w:t>
      </w:r>
    </w:p>
    <w:p>
      <w:pPr>
        <w:spacing w:after="120"/>
      </w:pPr>
      <w:r>
        <w:t xml:space="preserve"/>
      </w:r>
    </w:p>
    <w:p>
      <w:pPr>
        <w:pStyle w:val="Heading1"/>
      </w:pPr>
      <w:r>
        <w:rPr>
          <w:rFonts w:ascii="Arial" w:cs="Arial" w:eastAsia="Arial" w:hAnsi="Arial"/>
          <w:b/>
          <w:bCs/>
          <w:sz w:val="32"/>
          <w:szCs w:val="32"/>
        </w:rPr>
        <w:t xml:space="preserve">2. Smart Speakers and Voice Assistants</w:t>
      </w:r>
    </w:p>
    <w:p>
      <w:pPr>
        <w:spacing w:after="160"/>
      </w:pPr>
      <w:r>
        <w:rPr>
          <w:rFonts w:ascii="Arial" w:cs="Arial" w:eastAsia="Arial" w:hAnsi="Arial"/>
          <w:sz w:val="24"/>
          <w:szCs w:val="24"/>
        </w:rPr>
        <w:t xml:space="preserve">Devices including Amazon Echo/Alexa, Google Home/Nest, Apple HomePod, and similar always-on voice-activated systems present unique ambient monitoring capabilities due to their continuous acoustic sampling, natural language interaction, and central role in smart home control.</w:t>
      </w:r>
    </w:p>
    <w:p>
      <w:pPr>
        <w:pStyle w:val="Heading2"/>
      </w:pPr>
      <w:r>
        <w:rPr>
          <w:rFonts w:ascii="Arial" w:cs="Arial" w:eastAsia="Arial" w:hAnsi="Arial"/>
          <w:b/>
          <w:bCs/>
          <w:sz w:val="28"/>
          <w:szCs w:val="28"/>
        </w:rPr>
        <w:t xml:space="preserve">2.1 Interaction Pattern Metadata</w:t>
      </w:r>
    </w:p>
    <w:p>
      <w:pPr>
        <w:pStyle w:val="ListParagraph"/>
        <w:numPr>
          <w:ilvl w:val="0"/>
          <w:numId w:val="2"/>
        </w:numPr>
        <w:spacing w:after="80"/>
      </w:pPr>
      <w:r>
        <w:rPr>
          <w:rFonts w:ascii="Arial" w:cs="Arial" w:eastAsia="Arial" w:hAnsi="Arial"/>
          <w:sz w:val="24"/>
          <w:szCs w:val="24"/>
        </w:rPr>
        <w:t xml:space="preserve">Wake word invocation frequency and time-of-day distribution as a proxy for activity level, sleep timing, and routine consistency.</w:t>
      </w:r>
    </w:p>
    <w:p>
      <w:pPr>
        <w:pStyle w:val="ListParagraph"/>
        <w:numPr>
          <w:ilvl w:val="0"/>
          <w:numId w:val="2"/>
        </w:numPr>
        <w:spacing w:after="80"/>
      </w:pPr>
      <w:r>
        <w:rPr>
          <w:rFonts w:ascii="Arial" w:cs="Arial" w:eastAsia="Arial" w:hAnsi="Arial"/>
          <w:sz w:val="24"/>
          <w:szCs w:val="24"/>
        </w:rPr>
        <w:t xml:space="preserve">Query complexity and vocabulary diversity over time as cognitive function metrics — simplified queries, repetition of previously asked questions, or novel confusional query patterns as dementia markers.</w:t>
      </w:r>
    </w:p>
    <w:p>
      <w:pPr>
        <w:pStyle w:val="ListParagraph"/>
        <w:numPr>
          <w:ilvl w:val="0"/>
          <w:numId w:val="2"/>
        </w:numPr>
        <w:spacing w:after="80"/>
      </w:pPr>
      <w:r>
        <w:rPr>
          <w:rFonts w:ascii="Arial" w:cs="Arial" w:eastAsia="Arial" w:hAnsi="Arial"/>
          <w:sz w:val="24"/>
          <w:szCs w:val="24"/>
        </w:rPr>
        <w:t xml:space="preserve">Command execution success rate — frequency with which users must repeat, rephrase, or abandon voice commands — as a cognitive-linguistic performance metric.</w:t>
      </w:r>
    </w:p>
    <w:p>
      <w:pPr>
        <w:pStyle w:val="ListParagraph"/>
        <w:numPr>
          <w:ilvl w:val="0"/>
          <w:numId w:val="2"/>
        </w:numPr>
        <w:spacing w:after="80"/>
      </w:pPr>
      <w:r>
        <w:rPr>
          <w:rFonts w:ascii="Arial" w:cs="Arial" w:eastAsia="Arial" w:hAnsi="Arial"/>
          <w:sz w:val="24"/>
          <w:szCs w:val="24"/>
        </w:rPr>
        <w:t xml:space="preserve">Device control command patterns (lights on/off, music play/pause, thermostat adjustment) as behavioral routine markers.</w:t>
      </w:r>
    </w:p>
    <w:p>
      <w:pPr>
        <w:pStyle w:val="ListParagraph"/>
        <w:numPr>
          <w:ilvl w:val="0"/>
          <w:numId w:val="2"/>
        </w:numPr>
        <w:spacing w:after="80"/>
      </w:pPr>
      <w:r>
        <w:rPr>
          <w:rFonts w:ascii="Arial" w:cs="Arial" w:eastAsia="Arial" w:hAnsi="Arial"/>
          <w:sz w:val="24"/>
          <w:szCs w:val="24"/>
        </w:rPr>
        <w:t xml:space="preserve">Timer and reminder setting frequency and content categories as executive function and prospective memory proxies.</w:t>
      </w:r>
    </w:p>
    <w:p>
      <w:pPr>
        <w:pStyle w:val="ListParagraph"/>
        <w:numPr>
          <w:ilvl w:val="0"/>
          <w:numId w:val="2"/>
        </w:numPr>
        <w:spacing w:after="80"/>
      </w:pPr>
      <w:r>
        <w:rPr>
          <w:rFonts w:ascii="Arial" w:cs="Arial" w:eastAsia="Arial" w:hAnsi="Arial"/>
          <w:sz w:val="24"/>
          <w:szCs w:val="24"/>
        </w:rPr>
        <w:t xml:space="preserve">Time-of-night interactions as sleep disturbance indicators.</w:t>
      </w:r>
    </w:p>
    <w:p>
      <w:pPr>
        <w:pStyle w:val="ListParagraph"/>
        <w:numPr>
          <w:ilvl w:val="0"/>
          <w:numId w:val="2"/>
        </w:numPr>
        <w:spacing w:after="80"/>
      </w:pPr>
      <w:r>
        <w:rPr>
          <w:rFonts w:ascii="Arial" w:cs="Arial" w:eastAsia="Arial" w:hAnsi="Arial"/>
          <w:sz w:val="24"/>
          <w:szCs w:val="24"/>
        </w:rPr>
        <w:t xml:space="preserve">Emotional tone inferred from prosody of voice commands without content transcription, including elevated vocal stress, flat affect, or agitated speech patterns.</w:t>
      </w:r>
    </w:p>
    <w:p>
      <w:pPr>
        <w:pStyle w:val="ListParagraph"/>
        <w:numPr>
          <w:ilvl w:val="0"/>
          <w:numId w:val="2"/>
        </w:numPr>
        <w:spacing w:after="80"/>
      </w:pPr>
      <w:r>
        <w:rPr>
          <w:rFonts w:ascii="Arial" w:cs="Arial" w:eastAsia="Arial" w:hAnsi="Arial"/>
          <w:sz w:val="24"/>
          <w:szCs w:val="24"/>
        </w:rPr>
        <w:t xml:space="preserve">Silence duration following wake word activation before command issuance as a processing speed metric.</w:t>
      </w:r>
    </w:p>
    <w:p>
      <w:pPr>
        <w:pStyle w:val="ListParagraph"/>
        <w:numPr>
          <w:ilvl w:val="0"/>
          <w:numId w:val="2"/>
        </w:numPr>
        <w:spacing w:after="80"/>
      </w:pPr>
      <w:r>
        <w:rPr>
          <w:rFonts w:ascii="Arial" w:cs="Arial" w:eastAsia="Arial" w:hAnsi="Arial"/>
          <w:sz w:val="24"/>
          <w:szCs w:val="24"/>
        </w:rPr>
        <w:t xml:space="preserve">Shopping list and purchase interaction patterns reflecting changes in consumer behavior associated with manic spending or depressive withdrawal.</w:t>
      </w:r>
    </w:p>
    <w:p>
      <w:pPr>
        <w:pStyle w:val="ListParagraph"/>
        <w:numPr>
          <w:ilvl w:val="0"/>
          <w:numId w:val="2"/>
        </w:numPr>
        <w:spacing w:after="80"/>
      </w:pPr>
      <w:r>
        <w:rPr>
          <w:rFonts w:ascii="Arial" w:cs="Arial" w:eastAsia="Arial" w:hAnsi="Arial"/>
          <w:sz w:val="24"/>
          <w:szCs w:val="24"/>
        </w:rPr>
        <w:t xml:space="preserve">News and information query patterns reflecting rumination, paranoid information seeking, or health anxiety.</w:t>
      </w:r>
    </w:p>
    <w:p>
      <w:pPr>
        <w:spacing w:after="120"/>
      </w:pPr>
      <w:r>
        <w:t xml:space="preserve"/>
      </w:r>
    </w:p>
    <w:p>
      <w:pPr>
        <w:pStyle w:val="Heading2"/>
      </w:pPr>
      <w:r>
        <w:rPr>
          <w:rFonts w:ascii="Arial" w:cs="Arial" w:eastAsia="Arial" w:hAnsi="Arial"/>
          <w:b/>
          <w:bCs/>
          <w:sz w:val="28"/>
          <w:szCs w:val="28"/>
        </w:rPr>
        <w:t xml:space="preserve">2.2 Acoustic Environment Analysis</w:t>
      </w:r>
    </w:p>
    <w:p>
      <w:pPr>
        <w:pStyle w:val="ListParagraph"/>
        <w:numPr>
          <w:ilvl w:val="0"/>
          <w:numId w:val="2"/>
        </w:numPr>
        <w:spacing w:after="80"/>
      </w:pPr>
      <w:r>
        <w:rPr>
          <w:rFonts w:ascii="Arial" w:cs="Arial" w:eastAsia="Arial" w:hAnsi="Arial"/>
          <w:sz w:val="24"/>
          <w:szCs w:val="24"/>
        </w:rPr>
        <w:t xml:space="preserve">Continuous ambient acoustic environment classification on-device for detecting unusual sound events correlated with psychiatric or cognitive events, including falls, distressed vocalizations, wandering behavior at night, repetitive vocalizations, and unusual silences in normally active household periods.</w:t>
      </w:r>
    </w:p>
    <w:p>
      <w:pPr>
        <w:pStyle w:val="ListParagraph"/>
        <w:numPr>
          <w:ilvl w:val="0"/>
          <w:numId w:val="2"/>
        </w:numPr>
        <w:spacing w:after="80"/>
      </w:pPr>
      <w:r>
        <w:rPr>
          <w:rFonts w:ascii="Arial" w:cs="Arial" w:eastAsia="Arial" w:hAnsi="Arial"/>
          <w:sz w:val="24"/>
          <w:szCs w:val="24"/>
        </w:rPr>
        <w:t xml:space="preserve">Household occupancy detection via acoustic activity patterns without audio content retention, establishing baseline activity rhythms and detecting deviations.</w:t>
      </w:r>
    </w:p>
    <w:p>
      <w:pPr>
        <w:pStyle w:val="ListParagraph"/>
        <w:numPr>
          <w:ilvl w:val="0"/>
          <w:numId w:val="2"/>
        </w:numPr>
        <w:spacing w:after="80"/>
      </w:pPr>
      <w:r>
        <w:rPr>
          <w:rFonts w:ascii="Arial" w:cs="Arial" w:eastAsia="Arial" w:hAnsi="Arial"/>
          <w:sz w:val="24"/>
          <w:szCs w:val="24"/>
        </w:rPr>
        <w:t xml:space="preserve">Sleep sound monitoring via overnight acoustic classification including snoring, restlessness, and vocalization during sleep correlated with sleep architecture quality.</w:t>
      </w:r>
    </w:p>
    <w:p>
      <w:pPr>
        <w:pStyle w:val="ListParagraph"/>
        <w:numPr>
          <w:ilvl w:val="0"/>
          <w:numId w:val="2"/>
        </w:numPr>
        <w:spacing w:after="80"/>
      </w:pPr>
      <w:r>
        <w:rPr>
          <w:rFonts w:ascii="Arial" w:cs="Arial" w:eastAsia="Arial" w:hAnsi="Arial"/>
          <w:sz w:val="24"/>
          <w:szCs w:val="24"/>
        </w:rPr>
        <w:t xml:space="preserve">Social interaction detection via multi-speaker acoustic activity without content transcription, quantifying social contact frequency and duration in the home environment.</w:t>
      </w:r>
    </w:p>
    <w:p>
      <w:pPr>
        <w:pStyle w:val="ListParagraph"/>
        <w:numPr>
          <w:ilvl w:val="0"/>
          <w:numId w:val="2"/>
        </w:numPr>
        <w:spacing w:after="80"/>
      </w:pPr>
      <w:r>
        <w:rPr>
          <w:rFonts w:ascii="Arial" w:cs="Arial" w:eastAsia="Arial" w:hAnsi="Arial"/>
          <w:sz w:val="24"/>
          <w:szCs w:val="24"/>
        </w:rPr>
        <w:t xml:space="preserve">Television and media playback pattern detection via acoustic signatures as a behavioral activity proxy.</w:t>
      </w:r>
    </w:p>
    <w:p>
      <w:pPr>
        <w:pStyle w:val="ListParagraph"/>
        <w:numPr>
          <w:ilvl w:val="0"/>
          <w:numId w:val="2"/>
        </w:numPr>
        <w:spacing w:after="80"/>
      </w:pPr>
      <w:r>
        <w:rPr>
          <w:rFonts w:ascii="Arial" w:cs="Arial" w:eastAsia="Arial" w:hAnsi="Arial"/>
          <w:sz w:val="24"/>
          <w:szCs w:val="24"/>
        </w:rPr>
        <w:t xml:space="preserve">Kitchen and meal preparation activity detection via acoustic event classification as a self-care and routine adherence metric.</w:t>
      </w:r>
    </w:p>
    <w:p>
      <w:pPr>
        <w:pStyle w:val="ListParagraph"/>
        <w:numPr>
          <w:ilvl w:val="0"/>
          <w:numId w:val="2"/>
        </w:numPr>
        <w:spacing w:after="80"/>
      </w:pPr>
      <w:r>
        <w:rPr>
          <w:rFonts w:ascii="Arial" w:cs="Arial" w:eastAsia="Arial" w:hAnsi="Arial"/>
          <w:sz w:val="24"/>
          <w:szCs w:val="24"/>
        </w:rPr>
        <w:t xml:space="preserve">Detection of unusual vocal patterns including prolonged monologues, repetitive speech, or absence of speech in typically vocal individuals as psychosis or depression markers.</w:t>
      </w:r>
    </w:p>
    <w:p>
      <w:pPr>
        <w:spacing w:after="120"/>
      </w:pPr>
      <w:r>
        <w:t xml:space="preserve"/>
      </w:r>
    </w:p>
    <w:p>
      <w:pPr>
        <w:pStyle w:val="Heading2"/>
      </w:pPr>
      <w:r>
        <w:rPr>
          <w:rFonts w:ascii="Arial" w:cs="Arial" w:eastAsia="Arial" w:hAnsi="Arial"/>
          <w:b/>
          <w:bCs/>
          <w:sz w:val="28"/>
          <w:szCs w:val="28"/>
        </w:rPr>
        <w:t xml:space="preserve">2.3 Smart Speaker System Telemetry</w:t>
      </w:r>
    </w:p>
    <w:p>
      <w:pPr>
        <w:pStyle w:val="ListParagraph"/>
        <w:numPr>
          <w:ilvl w:val="0"/>
          <w:numId w:val="2"/>
        </w:numPr>
        <w:spacing w:after="80"/>
      </w:pPr>
      <w:r>
        <w:rPr>
          <w:rFonts w:ascii="Arial" w:cs="Arial" w:eastAsia="Arial" w:hAnsi="Arial"/>
          <w:sz w:val="24"/>
          <w:szCs w:val="24"/>
        </w:rPr>
        <w:t xml:space="preserve">Response time from wake word to query processing initiation as a system performance metric, with user-side delays potentially indicating cognitive processing differences.</w:t>
      </w:r>
    </w:p>
    <w:p>
      <w:pPr>
        <w:pStyle w:val="ListParagraph"/>
        <w:numPr>
          <w:ilvl w:val="0"/>
          <w:numId w:val="2"/>
        </w:numPr>
        <w:spacing w:after="80"/>
      </w:pPr>
      <w:r>
        <w:rPr>
          <w:rFonts w:ascii="Arial" w:cs="Arial" w:eastAsia="Arial" w:hAnsi="Arial"/>
          <w:sz w:val="24"/>
          <w:szCs w:val="24"/>
        </w:rPr>
        <w:t xml:space="preserve">Frequency of explicit error corrections and re-prompting as a proxy for communication difficulty.</w:t>
      </w:r>
    </w:p>
    <w:p>
      <w:pPr>
        <w:pStyle w:val="ListParagraph"/>
        <w:numPr>
          <w:ilvl w:val="0"/>
          <w:numId w:val="2"/>
        </w:numPr>
        <w:spacing w:after="80"/>
      </w:pPr>
      <w:r>
        <w:rPr>
          <w:rFonts w:ascii="Arial" w:cs="Arial" w:eastAsia="Arial" w:hAnsi="Arial"/>
          <w:sz w:val="24"/>
          <w:szCs w:val="24"/>
        </w:rPr>
        <w:t xml:space="preserve">Settings change frequency and patterns including alarm modifications, routine adjustments, and privacy setting changes as behavioral state markers.</w:t>
      </w:r>
    </w:p>
    <w:p>
      <w:pPr>
        <w:spacing w:after="120"/>
      </w:pPr>
      <w:r>
        <w:t xml:space="preserve"/>
      </w:r>
    </w:p>
    <w:p>
      <w:pPr>
        <w:pStyle w:val="Heading1"/>
      </w:pPr>
      <w:r>
        <w:rPr>
          <w:rFonts w:ascii="Arial" w:cs="Arial" w:eastAsia="Arial" w:hAnsi="Arial"/>
          <w:b/>
          <w:bCs/>
          <w:sz w:val="32"/>
          <w:szCs w:val="32"/>
        </w:rPr>
        <w:t xml:space="preserve">3. Security Cameras and Video Monitoring Systems</w:t>
      </w:r>
    </w:p>
    <w:p>
      <w:pPr>
        <w:spacing w:after="160"/>
      </w:pPr>
      <w:r>
        <w:rPr>
          <w:rFonts w:ascii="Arial" w:cs="Arial" w:eastAsia="Arial" w:hAnsi="Arial"/>
          <w:sz w:val="24"/>
          <w:szCs w:val="24"/>
        </w:rPr>
        <w:t xml:space="preserve">This section covers indoor and outdoor security cameras including consumer systems (Ring, Nest, Arlo, Wyze), enterprise systems, and any camera-equipped device with video processing capability. All behavioral inference described here is intended to operate on derived features and metadata rather than retained video content wherever possible.</w:t>
      </w:r>
    </w:p>
    <w:p>
      <w:pPr>
        <w:pStyle w:val="Heading2"/>
      </w:pPr>
      <w:r>
        <w:rPr>
          <w:rFonts w:ascii="Arial" w:cs="Arial" w:eastAsia="Arial" w:hAnsi="Arial"/>
          <w:b/>
          <w:bCs/>
          <w:sz w:val="28"/>
          <w:szCs w:val="28"/>
        </w:rPr>
        <w:t xml:space="preserve">3.1 Indoor Camera Behavioral Analysis</w:t>
      </w:r>
    </w:p>
    <w:p>
      <w:pPr>
        <w:pStyle w:val="ListParagraph"/>
        <w:numPr>
          <w:ilvl w:val="0"/>
          <w:numId w:val="2"/>
        </w:numPr>
        <w:spacing w:after="80"/>
      </w:pPr>
      <w:r>
        <w:rPr>
          <w:rFonts w:ascii="Arial" w:cs="Arial" w:eastAsia="Arial" w:hAnsi="Arial"/>
          <w:sz w:val="24"/>
          <w:szCs w:val="24"/>
        </w:rPr>
        <w:t xml:space="preserve">Room occupancy detection and time-in-room distributions for each room in the home as activity pattern and behavioral routine metrics, without retaining video.</w:t>
      </w:r>
    </w:p>
    <w:p>
      <w:pPr>
        <w:pStyle w:val="ListParagraph"/>
        <w:numPr>
          <w:ilvl w:val="0"/>
          <w:numId w:val="2"/>
        </w:numPr>
        <w:spacing w:after="80"/>
      </w:pPr>
      <w:r>
        <w:rPr>
          <w:rFonts w:ascii="Arial" w:cs="Arial" w:eastAsia="Arial" w:hAnsi="Arial"/>
          <w:sz w:val="24"/>
          <w:szCs w:val="24"/>
        </w:rPr>
        <w:t xml:space="preserve">Sleep timing inference from bedroom occupancy and activity patterns as detected by motion-sensitive cameras.</w:t>
      </w:r>
    </w:p>
    <w:p>
      <w:pPr>
        <w:pStyle w:val="ListParagraph"/>
        <w:numPr>
          <w:ilvl w:val="0"/>
          <w:numId w:val="2"/>
        </w:numPr>
        <w:spacing w:after="80"/>
      </w:pPr>
      <w:r>
        <w:rPr>
          <w:rFonts w:ascii="Arial" w:cs="Arial" w:eastAsia="Arial" w:hAnsi="Arial"/>
          <w:sz w:val="24"/>
          <w:szCs w:val="24"/>
        </w:rPr>
        <w:t xml:space="preserve">Meal and self-care activity inference from kitchen and bathroom occupancy patterns and duration.</w:t>
      </w:r>
    </w:p>
    <w:p>
      <w:pPr>
        <w:pStyle w:val="ListParagraph"/>
        <w:numPr>
          <w:ilvl w:val="0"/>
          <w:numId w:val="2"/>
        </w:numPr>
        <w:spacing w:after="80"/>
      </w:pPr>
      <w:r>
        <w:rPr>
          <w:rFonts w:ascii="Arial" w:cs="Arial" w:eastAsia="Arial" w:hAnsi="Arial"/>
          <w:sz w:val="24"/>
          <w:szCs w:val="24"/>
        </w:rPr>
        <w:t xml:space="preserve">Gait analysis from overhead or angled indoor camera perspectives including walking speed, stride characteristics, balance sway, and hesitation patterns as cognitive and neurological biomarkers.</w:t>
      </w:r>
    </w:p>
    <w:p>
      <w:pPr>
        <w:pStyle w:val="ListParagraph"/>
        <w:numPr>
          <w:ilvl w:val="0"/>
          <w:numId w:val="2"/>
        </w:numPr>
        <w:spacing w:after="80"/>
      </w:pPr>
      <w:r>
        <w:rPr>
          <w:rFonts w:ascii="Arial" w:cs="Arial" w:eastAsia="Arial" w:hAnsi="Arial"/>
          <w:sz w:val="24"/>
          <w:szCs w:val="24"/>
        </w:rPr>
        <w:t xml:space="preserve">Posture classification from camera feeds including hunched posture, psychomotor retardation, and agitation-associated restlessness.</w:t>
      </w:r>
    </w:p>
    <w:p>
      <w:pPr>
        <w:pStyle w:val="ListParagraph"/>
        <w:numPr>
          <w:ilvl w:val="0"/>
          <w:numId w:val="2"/>
        </w:numPr>
        <w:spacing w:after="80"/>
      </w:pPr>
      <w:r>
        <w:rPr>
          <w:rFonts w:ascii="Arial" w:cs="Arial" w:eastAsia="Arial" w:hAnsi="Arial"/>
          <w:sz w:val="24"/>
          <w:szCs w:val="24"/>
        </w:rPr>
        <w:t xml:space="preserve">Facial expression analysis from camera-equipped indoor devices for affect detection including flat affect (depression, negative symptoms of schizophrenia), emotional lability, and fear or distress expressions.</w:t>
      </w:r>
    </w:p>
    <w:p>
      <w:pPr>
        <w:pStyle w:val="ListParagraph"/>
        <w:numPr>
          <w:ilvl w:val="0"/>
          <w:numId w:val="2"/>
        </w:numPr>
        <w:spacing w:after="80"/>
      </w:pPr>
      <w:r>
        <w:rPr>
          <w:rFonts w:ascii="Arial" w:cs="Arial" w:eastAsia="Arial" w:hAnsi="Arial"/>
          <w:sz w:val="24"/>
          <w:szCs w:val="24"/>
        </w:rPr>
        <w:t xml:space="preserve">Object interaction patterns including medication bottle handling frequency, refrigerator access frequency, and interaction with communication devices as self-care adherence proxies.</w:t>
      </w:r>
    </w:p>
    <w:p>
      <w:pPr>
        <w:pStyle w:val="ListParagraph"/>
        <w:numPr>
          <w:ilvl w:val="0"/>
          <w:numId w:val="2"/>
        </w:numPr>
        <w:spacing w:after="80"/>
      </w:pPr>
      <w:r>
        <w:rPr>
          <w:rFonts w:ascii="Arial" w:cs="Arial" w:eastAsia="Arial" w:hAnsi="Arial"/>
          <w:sz w:val="24"/>
          <w:szCs w:val="24"/>
        </w:rPr>
        <w:t xml:space="preserve">Fall detection and near-fall detection as neurological and medication side effect markers.</w:t>
      </w:r>
    </w:p>
    <w:p>
      <w:pPr>
        <w:pStyle w:val="ListParagraph"/>
        <w:numPr>
          <w:ilvl w:val="0"/>
          <w:numId w:val="2"/>
        </w:numPr>
        <w:spacing w:after="80"/>
      </w:pPr>
      <w:r>
        <w:rPr>
          <w:rFonts w:ascii="Arial" w:cs="Arial" w:eastAsia="Arial" w:hAnsi="Arial"/>
          <w:sz w:val="24"/>
          <w:szCs w:val="24"/>
        </w:rPr>
        <w:t xml:space="preserve">Wandering detection in individuals with dementia including nocturnal wandering, repetitive looping patterns, and approach to exit points.</w:t>
      </w:r>
    </w:p>
    <w:p>
      <w:pPr>
        <w:pStyle w:val="ListParagraph"/>
        <w:numPr>
          <w:ilvl w:val="0"/>
          <w:numId w:val="2"/>
        </w:numPr>
        <w:spacing w:after="80"/>
      </w:pPr>
      <w:r>
        <w:rPr>
          <w:rFonts w:ascii="Arial" w:cs="Arial" w:eastAsia="Arial" w:hAnsi="Arial"/>
          <w:sz w:val="24"/>
          <w:szCs w:val="24"/>
        </w:rPr>
        <w:t xml:space="preserve">Social interaction detection via multi-person occupancy detection without facial recognition.</w:t>
      </w:r>
    </w:p>
    <w:p>
      <w:pPr>
        <w:pStyle w:val="ListParagraph"/>
        <w:numPr>
          <w:ilvl w:val="0"/>
          <w:numId w:val="2"/>
        </w:numPr>
        <w:spacing w:after="80"/>
      </w:pPr>
      <w:r>
        <w:rPr>
          <w:rFonts w:ascii="Arial" w:cs="Arial" w:eastAsia="Arial" w:hAnsi="Arial"/>
          <w:sz w:val="24"/>
          <w:szCs w:val="24"/>
        </w:rPr>
        <w:t xml:space="preserve">Repetitive behavior detection including pacing, rocking, hand-wringing, or other stereotyped motor behaviors associated with anxiety, OCD, or autism spectrum conditions.</w:t>
      </w:r>
    </w:p>
    <w:p>
      <w:pPr>
        <w:spacing w:after="120"/>
      </w:pPr>
      <w:r>
        <w:t xml:space="preserve"/>
      </w:r>
    </w:p>
    <w:p>
      <w:pPr>
        <w:pStyle w:val="Heading2"/>
      </w:pPr>
      <w:r>
        <w:rPr>
          <w:rFonts w:ascii="Arial" w:cs="Arial" w:eastAsia="Arial" w:hAnsi="Arial"/>
          <w:b/>
          <w:bCs/>
          <w:sz w:val="28"/>
          <w:szCs w:val="28"/>
        </w:rPr>
        <w:t xml:space="preserve">3.2 Outdoor Camera Behavioral Analysis</w:t>
      </w:r>
    </w:p>
    <w:p>
      <w:pPr>
        <w:pStyle w:val="ListParagraph"/>
        <w:numPr>
          <w:ilvl w:val="0"/>
          <w:numId w:val="2"/>
        </w:numPr>
        <w:spacing w:after="80"/>
      </w:pPr>
      <w:r>
        <w:rPr>
          <w:rFonts w:ascii="Arial" w:cs="Arial" w:eastAsia="Arial" w:hAnsi="Arial"/>
          <w:sz w:val="24"/>
          <w:szCs w:val="24"/>
        </w:rPr>
        <w:t xml:space="preserve">Departure and arrival time logging as routine consistency and social engagement metrics.</w:t>
      </w:r>
    </w:p>
    <w:p>
      <w:pPr>
        <w:pStyle w:val="ListParagraph"/>
        <w:numPr>
          <w:ilvl w:val="0"/>
          <w:numId w:val="2"/>
        </w:numPr>
        <w:spacing w:after="80"/>
      </w:pPr>
      <w:r>
        <w:rPr>
          <w:rFonts w:ascii="Arial" w:cs="Arial" w:eastAsia="Arial" w:hAnsi="Arial"/>
          <w:sz w:val="24"/>
          <w:szCs w:val="24"/>
        </w:rPr>
        <w:t xml:space="preserve">Frequency of outdoor activity as a behavioral activation and exercise proxy.</w:t>
      </w:r>
    </w:p>
    <w:p>
      <w:pPr>
        <w:pStyle w:val="ListParagraph"/>
        <w:numPr>
          <w:ilvl w:val="0"/>
          <w:numId w:val="2"/>
        </w:numPr>
        <w:spacing w:after="80"/>
      </w:pPr>
      <w:r>
        <w:rPr>
          <w:rFonts w:ascii="Arial" w:cs="Arial" w:eastAsia="Arial" w:hAnsi="Arial"/>
          <w:sz w:val="24"/>
          <w:szCs w:val="24"/>
        </w:rPr>
        <w:t xml:space="preserve">Visitor detection frequency as a social contact metric.</w:t>
      </w:r>
    </w:p>
    <w:p>
      <w:pPr>
        <w:pStyle w:val="ListParagraph"/>
        <w:numPr>
          <w:ilvl w:val="0"/>
          <w:numId w:val="2"/>
        </w:numPr>
        <w:spacing w:after="80"/>
      </w:pPr>
      <w:r>
        <w:rPr>
          <w:rFonts w:ascii="Arial" w:cs="Arial" w:eastAsia="Arial" w:hAnsi="Arial"/>
          <w:sz w:val="24"/>
          <w:szCs w:val="24"/>
        </w:rPr>
        <w:t xml:space="preserve">Unusual nighttime outdoor activity as a sleep disturbance or nocturnal wandering indicator.</w:t>
      </w:r>
    </w:p>
    <w:p>
      <w:pPr>
        <w:pStyle w:val="ListParagraph"/>
        <w:numPr>
          <w:ilvl w:val="0"/>
          <w:numId w:val="2"/>
        </w:numPr>
        <w:spacing w:after="80"/>
      </w:pPr>
      <w:r>
        <w:rPr>
          <w:rFonts w:ascii="Arial" w:cs="Arial" w:eastAsia="Arial" w:hAnsi="Arial"/>
          <w:sz w:val="24"/>
          <w:szCs w:val="24"/>
        </w:rPr>
        <w:t xml:space="preserve">Vehicle use patterns as a mobility and independence metric, relevant for dementia monitoring.</w:t>
      </w:r>
    </w:p>
    <w:p>
      <w:pPr>
        <w:pStyle w:val="ListParagraph"/>
        <w:numPr>
          <w:ilvl w:val="0"/>
          <w:numId w:val="2"/>
        </w:numPr>
        <w:spacing w:after="80"/>
      </w:pPr>
      <w:r>
        <w:rPr>
          <w:rFonts w:ascii="Arial" w:cs="Arial" w:eastAsia="Arial" w:hAnsi="Arial"/>
          <w:sz w:val="24"/>
          <w:szCs w:val="24"/>
        </w:rPr>
        <w:t xml:space="preserve">Gait analysis on approach and departure paths for longitudinal motor function tracking.</w:t>
      </w:r>
    </w:p>
    <w:p>
      <w:pPr>
        <w:pStyle w:val="ListParagraph"/>
        <w:numPr>
          <w:ilvl w:val="0"/>
          <w:numId w:val="2"/>
        </w:numPr>
        <w:spacing w:after="80"/>
      </w:pPr>
      <w:r>
        <w:rPr>
          <w:rFonts w:ascii="Arial" w:cs="Arial" w:eastAsia="Arial" w:hAnsi="Arial"/>
          <w:sz w:val="24"/>
          <w:szCs w:val="24"/>
        </w:rPr>
        <w:t xml:space="preserve">Mail and package retrieval behavior as a functional independence metric.</w:t>
      </w:r>
    </w:p>
    <w:p>
      <w:pPr>
        <w:spacing w:after="120"/>
      </w:pPr>
      <w:r>
        <w:t xml:space="preserve"/>
      </w:r>
    </w:p>
    <w:p>
      <w:pPr>
        <w:pStyle w:val="Heading2"/>
      </w:pPr>
      <w:r>
        <w:rPr>
          <w:rFonts w:ascii="Arial" w:cs="Arial" w:eastAsia="Arial" w:hAnsi="Arial"/>
          <w:b/>
          <w:bCs/>
          <w:sz w:val="28"/>
          <w:szCs w:val="28"/>
        </w:rPr>
        <w:t xml:space="preserve">3.3 Camera System Telemetry and Metadata</w:t>
      </w:r>
    </w:p>
    <w:p>
      <w:pPr>
        <w:pStyle w:val="ListParagraph"/>
        <w:numPr>
          <w:ilvl w:val="0"/>
          <w:numId w:val="2"/>
        </w:numPr>
        <w:spacing w:after="80"/>
      </w:pPr>
      <w:r>
        <w:rPr>
          <w:rFonts w:ascii="Arial" w:cs="Arial" w:eastAsia="Arial" w:hAnsi="Arial"/>
          <w:sz w:val="24"/>
          <w:szCs w:val="24"/>
        </w:rPr>
        <w:t xml:space="preserve">Motion event frequency and time-of-day distribution as household activity level metrics without requiring video content analysis.</w:t>
      </w:r>
    </w:p>
    <w:p>
      <w:pPr>
        <w:pStyle w:val="ListParagraph"/>
        <w:numPr>
          <w:ilvl w:val="0"/>
          <w:numId w:val="2"/>
        </w:numPr>
        <w:spacing w:after="80"/>
      </w:pPr>
      <w:r>
        <w:rPr>
          <w:rFonts w:ascii="Arial" w:cs="Arial" w:eastAsia="Arial" w:hAnsi="Arial"/>
          <w:sz w:val="24"/>
          <w:szCs w:val="24"/>
        </w:rPr>
        <w:t xml:space="preserve">Camera settings changes including privacy mode activation frequency as a potential paranoia proxy.</w:t>
      </w:r>
    </w:p>
    <w:p>
      <w:pPr>
        <w:pStyle w:val="ListParagraph"/>
        <w:numPr>
          <w:ilvl w:val="0"/>
          <w:numId w:val="2"/>
        </w:numPr>
        <w:spacing w:after="80"/>
      </w:pPr>
      <w:r>
        <w:rPr>
          <w:rFonts w:ascii="Arial" w:cs="Arial" w:eastAsia="Arial" w:hAnsi="Arial"/>
          <w:sz w:val="24"/>
          <w:szCs w:val="24"/>
        </w:rPr>
        <w:t xml:space="preserve">Live view access frequency by authorized users as a caregiver monitoring metric.</w:t>
      </w:r>
    </w:p>
    <w:p>
      <w:pPr>
        <w:pStyle w:val="ListParagraph"/>
        <w:numPr>
          <w:ilvl w:val="0"/>
          <w:numId w:val="2"/>
        </w:numPr>
        <w:spacing w:after="80"/>
      </w:pPr>
      <w:r>
        <w:rPr>
          <w:rFonts w:ascii="Arial" w:cs="Arial" w:eastAsia="Arial" w:hAnsi="Arial"/>
          <w:sz w:val="24"/>
          <w:szCs w:val="24"/>
        </w:rPr>
        <w:t xml:space="preserve">Alert acknowledgment latency as a responsiveness and engagement metric.</w:t>
      </w:r>
    </w:p>
    <w:p>
      <w:pPr>
        <w:spacing w:after="120"/>
      </w:pPr>
      <w:r>
        <w:t xml:space="preserve"/>
      </w:r>
    </w:p>
    <w:p>
      <w:pPr>
        <w:pStyle w:val="Heading1"/>
      </w:pPr>
      <w:r>
        <w:rPr>
          <w:rFonts w:ascii="Arial" w:cs="Arial" w:eastAsia="Arial" w:hAnsi="Arial"/>
          <w:b/>
          <w:bCs/>
          <w:sz w:val="32"/>
          <w:szCs w:val="32"/>
        </w:rPr>
        <w:t xml:space="preserve">4. Video Doorbells and Entry Sensors</w:t>
      </w:r>
    </w:p>
    <w:p>
      <w:pPr>
        <w:spacing w:after="160"/>
      </w:pPr>
      <w:r>
        <w:rPr>
          <w:rFonts w:ascii="Arial" w:cs="Arial" w:eastAsia="Arial" w:hAnsi="Arial"/>
          <w:sz w:val="24"/>
          <w:szCs w:val="24"/>
        </w:rPr>
        <w:t xml:space="preserve">Video doorbell systems (Ring, Nest Hello, Arlo, Eufy, and similar) occupy a unique monitoring position as sensors of the interface between private and public space.</w:t>
      </w:r>
    </w:p>
    <w:p>
      <w:pPr>
        <w:pStyle w:val="Heading2"/>
      </w:pPr>
      <w:r>
        <w:rPr>
          <w:rFonts w:ascii="Arial" w:cs="Arial" w:eastAsia="Arial" w:hAnsi="Arial"/>
          <w:b/>
          <w:bCs/>
          <w:sz w:val="28"/>
          <w:szCs w:val="28"/>
        </w:rPr>
        <w:t xml:space="preserve">4.1 Behavioral Signals from Doorbell Systems</w:t>
      </w:r>
    </w:p>
    <w:p>
      <w:pPr>
        <w:pStyle w:val="ListParagraph"/>
        <w:numPr>
          <w:ilvl w:val="0"/>
          <w:numId w:val="2"/>
        </w:numPr>
        <w:spacing w:after="80"/>
      </w:pPr>
      <w:r>
        <w:rPr>
          <w:rFonts w:ascii="Arial" w:cs="Arial" w:eastAsia="Arial" w:hAnsi="Arial"/>
          <w:sz w:val="24"/>
          <w:szCs w:val="24"/>
        </w:rPr>
        <w:t xml:space="preserve">Door answer rate and response latency — frequency with which occupants respond to doorbell events, and time taken to respond — as social engagement, anxiety avoidance, and cognitive alertness metrics.</w:t>
      </w:r>
    </w:p>
    <w:p>
      <w:pPr>
        <w:pStyle w:val="ListParagraph"/>
        <w:numPr>
          <w:ilvl w:val="0"/>
          <w:numId w:val="2"/>
        </w:numPr>
        <w:spacing w:after="80"/>
      </w:pPr>
      <w:r>
        <w:rPr>
          <w:rFonts w:ascii="Arial" w:cs="Arial" w:eastAsia="Arial" w:hAnsi="Arial"/>
          <w:sz w:val="24"/>
          <w:szCs w:val="24"/>
        </w:rPr>
        <w:t xml:space="preserve">Visitor frequency and time-of-day patterns as social contact and isolation metrics.</w:t>
      </w:r>
    </w:p>
    <w:p>
      <w:pPr>
        <w:pStyle w:val="ListParagraph"/>
        <w:numPr>
          <w:ilvl w:val="0"/>
          <w:numId w:val="2"/>
        </w:numPr>
        <w:spacing w:after="80"/>
      </w:pPr>
      <w:r>
        <w:rPr>
          <w:rFonts w:ascii="Arial" w:cs="Arial" w:eastAsia="Arial" w:hAnsi="Arial"/>
          <w:sz w:val="24"/>
          <w:szCs w:val="24"/>
        </w:rPr>
        <w:t xml:space="preserve">Occupant-initiated door opening without prior doorbell event as a behavioral routine marker.</w:t>
      </w:r>
    </w:p>
    <w:p>
      <w:pPr>
        <w:pStyle w:val="ListParagraph"/>
        <w:numPr>
          <w:ilvl w:val="0"/>
          <w:numId w:val="2"/>
        </w:numPr>
        <w:spacing w:after="80"/>
      </w:pPr>
      <w:r>
        <w:rPr>
          <w:rFonts w:ascii="Arial" w:cs="Arial" w:eastAsia="Arial" w:hAnsi="Arial"/>
          <w:sz w:val="24"/>
          <w:szCs w:val="24"/>
        </w:rPr>
        <w:t xml:space="preserve">Delivery package retrieval latency — time from delivery detection to package pickup — as a functional independence and engagement metric relevant to depression and cognitive decline monitoring.</w:t>
      </w:r>
    </w:p>
    <w:p>
      <w:pPr>
        <w:pStyle w:val="ListParagraph"/>
        <w:numPr>
          <w:ilvl w:val="0"/>
          <w:numId w:val="2"/>
        </w:numPr>
        <w:spacing w:after="80"/>
      </w:pPr>
      <w:r>
        <w:rPr>
          <w:rFonts w:ascii="Arial" w:cs="Arial" w:eastAsia="Arial" w:hAnsi="Arial"/>
          <w:sz w:val="24"/>
          <w:szCs w:val="24"/>
        </w:rPr>
        <w:t xml:space="preserve">Nighttime door opening events as sleep disturbance or nocturnal confusion markers, particularly relevant for dementia monitoring.</w:t>
      </w:r>
    </w:p>
    <w:p>
      <w:pPr>
        <w:pStyle w:val="ListParagraph"/>
        <w:numPr>
          <w:ilvl w:val="0"/>
          <w:numId w:val="2"/>
        </w:numPr>
        <w:spacing w:after="80"/>
      </w:pPr>
      <w:r>
        <w:rPr>
          <w:rFonts w:ascii="Arial" w:cs="Arial" w:eastAsia="Arial" w:hAnsi="Arial"/>
          <w:sz w:val="24"/>
          <w:szCs w:val="24"/>
        </w:rPr>
        <w:t xml:space="preserve">Motion event frequency on approach path as outdoor activity level metric.</w:t>
      </w:r>
    </w:p>
    <w:p>
      <w:pPr>
        <w:pStyle w:val="ListParagraph"/>
        <w:numPr>
          <w:ilvl w:val="0"/>
          <w:numId w:val="2"/>
        </w:numPr>
        <w:spacing w:after="80"/>
      </w:pPr>
      <w:r>
        <w:rPr>
          <w:rFonts w:ascii="Arial" w:cs="Arial" w:eastAsia="Arial" w:hAnsi="Arial"/>
          <w:sz w:val="24"/>
          <w:szCs w:val="24"/>
        </w:rPr>
        <w:t xml:space="preserve">Live view access patterns by occupants as a hypervigilance or paranoia proxy — unusually frequent self-initiated live view checks of the doorbell camera as an anxiety or paranoid thinking marker.</w:t>
      </w:r>
    </w:p>
    <w:p>
      <w:pPr>
        <w:pStyle w:val="ListParagraph"/>
        <w:numPr>
          <w:ilvl w:val="0"/>
          <w:numId w:val="2"/>
        </w:numPr>
        <w:spacing w:after="80"/>
      </w:pPr>
      <w:r>
        <w:rPr>
          <w:rFonts w:ascii="Arial" w:cs="Arial" w:eastAsia="Arial" w:hAnsi="Arial"/>
          <w:sz w:val="24"/>
          <w:szCs w:val="24"/>
        </w:rPr>
        <w:t xml:space="preserve">Two-way audio interaction characteristics including speech clarity, response coherence, and conversation duration as remote cognitive assessment opportunities.</w:t>
      </w:r>
    </w:p>
    <w:p>
      <w:pPr>
        <w:pStyle w:val="ListParagraph"/>
        <w:numPr>
          <w:ilvl w:val="0"/>
          <w:numId w:val="2"/>
        </w:numPr>
        <w:spacing w:after="80"/>
      </w:pPr>
      <w:r>
        <w:rPr>
          <w:rFonts w:ascii="Arial" w:cs="Arial" w:eastAsia="Arial" w:hAnsi="Arial"/>
          <w:sz w:val="24"/>
          <w:szCs w:val="24"/>
        </w:rPr>
        <w:t xml:space="preserve">Settings change frequency including motion sensitivity, notification, and privacy settings as behavioral state indicators.</w:t>
      </w:r>
    </w:p>
    <w:p>
      <w:pPr>
        <w:spacing w:after="120"/>
      </w:pPr>
      <w:r>
        <w:t xml:space="preserve"/>
      </w:r>
    </w:p>
    <w:p>
      <w:pPr>
        <w:pStyle w:val="Heading2"/>
      </w:pPr>
      <w:r>
        <w:rPr>
          <w:rFonts w:ascii="Arial" w:cs="Arial" w:eastAsia="Arial" w:hAnsi="Arial"/>
          <w:b/>
          <w:bCs/>
          <w:sz w:val="28"/>
          <w:szCs w:val="28"/>
        </w:rPr>
        <w:t xml:space="preserve">4.2 Entry Sensor Integration</w:t>
      </w:r>
    </w:p>
    <w:p>
      <w:pPr>
        <w:pStyle w:val="ListParagraph"/>
        <w:numPr>
          <w:ilvl w:val="0"/>
          <w:numId w:val="2"/>
        </w:numPr>
        <w:spacing w:after="80"/>
      </w:pPr>
      <w:r>
        <w:rPr>
          <w:rFonts w:ascii="Arial" w:cs="Arial" w:eastAsia="Arial" w:hAnsi="Arial"/>
          <w:sz w:val="24"/>
          <w:szCs w:val="24"/>
        </w:rPr>
        <w:t xml:space="preserve">Smart lock interaction logs including successful and failed entry attempts, unusual access timing, and keypad versus app versus key usage patterns.</w:t>
      </w:r>
    </w:p>
    <w:p>
      <w:pPr>
        <w:pStyle w:val="ListParagraph"/>
        <w:numPr>
          <w:ilvl w:val="0"/>
          <w:numId w:val="2"/>
        </w:numPr>
        <w:spacing w:after="80"/>
      </w:pPr>
      <w:r>
        <w:rPr>
          <w:rFonts w:ascii="Arial" w:cs="Arial" w:eastAsia="Arial" w:hAnsi="Arial"/>
          <w:sz w:val="24"/>
          <w:szCs w:val="24"/>
        </w:rPr>
        <w:t xml:space="preserve">Door open-dwell duration patterns — how long entry doors remain open — as behavioral markers of agitation, confusion, or functional difficulty.</w:t>
      </w:r>
    </w:p>
    <w:p>
      <w:pPr>
        <w:pStyle w:val="ListParagraph"/>
        <w:numPr>
          <w:ilvl w:val="0"/>
          <w:numId w:val="2"/>
        </w:numPr>
        <w:spacing w:after="80"/>
      </w:pPr>
      <w:r>
        <w:rPr>
          <w:rFonts w:ascii="Arial" w:cs="Arial" w:eastAsia="Arial" w:hAnsi="Arial"/>
          <w:sz w:val="24"/>
          <w:szCs w:val="24"/>
        </w:rPr>
        <w:t xml:space="preserve">Failed access attempt frequency as a cognitive performance metric relevant to dementia monitoring.</w:t>
      </w:r>
    </w:p>
    <w:p>
      <w:pPr>
        <w:pStyle w:val="ListParagraph"/>
        <w:numPr>
          <w:ilvl w:val="0"/>
          <w:numId w:val="2"/>
        </w:numPr>
        <w:spacing w:after="80"/>
      </w:pPr>
      <w:r>
        <w:rPr>
          <w:rFonts w:ascii="Arial" w:cs="Arial" w:eastAsia="Arial" w:hAnsi="Arial"/>
          <w:sz w:val="24"/>
          <w:szCs w:val="24"/>
        </w:rPr>
        <w:t xml:space="preserve">Window and door sensor activation patterns throughout the home for detailed behavioral routine reconstruction.</w:t>
      </w:r>
    </w:p>
    <w:p>
      <w:pPr>
        <w:spacing w:after="120"/>
      </w:pPr>
      <w:r>
        <w:t xml:space="preserve"/>
      </w:r>
    </w:p>
    <w:p>
      <w:pPr>
        <w:pStyle w:val="Heading1"/>
      </w:pPr>
      <w:r>
        <w:rPr>
          <w:rFonts w:ascii="Arial" w:cs="Arial" w:eastAsia="Arial" w:hAnsi="Arial"/>
          <w:b/>
          <w:bCs/>
          <w:sz w:val="32"/>
          <w:szCs w:val="32"/>
        </w:rPr>
        <w:t xml:space="preserve">5. Smart Thermostats and HVAC Systems</w:t>
      </w:r>
    </w:p>
    <w:p>
      <w:pPr>
        <w:spacing w:after="160"/>
      </w:pPr>
      <w:r>
        <w:rPr>
          <w:rFonts w:ascii="Arial" w:cs="Arial" w:eastAsia="Arial" w:hAnsi="Arial"/>
          <w:sz w:val="24"/>
          <w:szCs w:val="24"/>
        </w:rPr>
        <w:t xml:space="preserve">Smart thermostats (Nest, Ecobee, Honeywell Home, and similar) and associated HVAC control systems provide both direct occupancy sensing and indirect behavioral inference.</w:t>
      </w:r>
    </w:p>
    <w:p>
      <w:pPr>
        <w:pStyle w:val="Heading2"/>
      </w:pPr>
      <w:r>
        <w:rPr>
          <w:rFonts w:ascii="Arial" w:cs="Arial" w:eastAsia="Arial" w:hAnsi="Arial"/>
          <w:b/>
          <w:bCs/>
          <w:sz w:val="28"/>
          <w:szCs w:val="28"/>
        </w:rPr>
        <w:t xml:space="preserve">5.1 Thermostat Behavioral and Operational Signals</w:t>
      </w:r>
    </w:p>
    <w:p>
      <w:pPr>
        <w:pStyle w:val="ListParagraph"/>
        <w:numPr>
          <w:ilvl w:val="0"/>
          <w:numId w:val="2"/>
        </w:numPr>
        <w:spacing w:after="80"/>
      </w:pPr>
      <w:r>
        <w:rPr>
          <w:rFonts w:ascii="Arial" w:cs="Arial" w:eastAsia="Arial" w:hAnsi="Arial"/>
          <w:sz w:val="24"/>
          <w:szCs w:val="24"/>
        </w:rPr>
        <w:t xml:space="preserve">Temperature set point changes — frequency, time-of-day, and magnitude — as behavioral routine and comfort-seeking pattern metrics. Unusual temperature preferences or dramatic set point changes may indicate autonomic dysregulation, metabolic changes associated with psychiatric medication, or cognitive confusion.</w:t>
      </w:r>
    </w:p>
    <w:p>
      <w:pPr>
        <w:pStyle w:val="ListParagraph"/>
        <w:numPr>
          <w:ilvl w:val="0"/>
          <w:numId w:val="2"/>
        </w:numPr>
        <w:spacing w:after="80"/>
      </w:pPr>
      <w:r>
        <w:rPr>
          <w:rFonts w:ascii="Arial" w:cs="Arial" w:eastAsia="Arial" w:hAnsi="Arial"/>
          <w:sz w:val="24"/>
          <w:szCs w:val="24"/>
        </w:rPr>
        <w:t xml:space="preserve">Manual override frequency of scheduled programming as a metric of routine adherence and executive function.</w:t>
      </w:r>
    </w:p>
    <w:p>
      <w:pPr>
        <w:pStyle w:val="ListParagraph"/>
        <w:numPr>
          <w:ilvl w:val="0"/>
          <w:numId w:val="2"/>
        </w:numPr>
        <w:spacing w:after="80"/>
      </w:pPr>
      <w:r>
        <w:rPr>
          <w:rFonts w:ascii="Arial" w:cs="Arial" w:eastAsia="Arial" w:hAnsi="Arial"/>
          <w:sz w:val="24"/>
          <w:szCs w:val="24"/>
        </w:rPr>
        <w:t xml:space="preserve">Thermostat display interaction frequency and duration as a proxy for pacing, agitation, or confusion.</w:t>
      </w:r>
    </w:p>
    <w:p>
      <w:pPr>
        <w:pStyle w:val="ListParagraph"/>
        <w:numPr>
          <w:ilvl w:val="0"/>
          <w:numId w:val="2"/>
        </w:numPr>
        <w:spacing w:after="80"/>
      </w:pPr>
      <w:r>
        <w:rPr>
          <w:rFonts w:ascii="Arial" w:cs="Arial" w:eastAsia="Arial" w:hAnsi="Arial"/>
          <w:sz w:val="24"/>
          <w:szCs w:val="24"/>
        </w:rPr>
        <w:t xml:space="preserve">Schedule creation, modification, and deletion patterns as executive planning and routine stability metrics.</w:t>
      </w:r>
    </w:p>
    <w:p>
      <w:pPr>
        <w:pStyle w:val="ListParagraph"/>
        <w:numPr>
          <w:ilvl w:val="0"/>
          <w:numId w:val="2"/>
        </w:numPr>
        <w:spacing w:after="80"/>
      </w:pPr>
      <w:r>
        <w:rPr>
          <w:rFonts w:ascii="Arial" w:cs="Arial" w:eastAsia="Arial" w:hAnsi="Arial"/>
          <w:sz w:val="24"/>
          <w:szCs w:val="24"/>
        </w:rPr>
        <w:t xml:space="preserve">Temperature complaints or comfort-seeking behavior inferred from repeated thermostat interactions within short time windows as a potential sensory sensitivity or agitation marker.</w:t>
      </w:r>
    </w:p>
    <w:p>
      <w:pPr>
        <w:pStyle w:val="ListParagraph"/>
        <w:numPr>
          <w:ilvl w:val="0"/>
          <w:numId w:val="2"/>
        </w:numPr>
        <w:spacing w:after="80"/>
      </w:pPr>
      <w:r>
        <w:rPr>
          <w:rFonts w:ascii="Arial" w:cs="Arial" w:eastAsia="Arial" w:hAnsi="Arial"/>
          <w:sz w:val="24"/>
          <w:szCs w:val="24"/>
        </w:rPr>
        <w:t xml:space="preserve">Away mode and home mode transition patterns as occupancy and routine regularity metrics.</w:t>
      </w:r>
    </w:p>
    <w:p>
      <w:pPr>
        <w:spacing w:after="120"/>
      </w:pPr>
      <w:r>
        <w:t xml:space="preserve"/>
      </w:r>
    </w:p>
    <w:p>
      <w:pPr>
        <w:pStyle w:val="Heading2"/>
      </w:pPr>
      <w:r>
        <w:rPr>
          <w:rFonts w:ascii="Arial" w:cs="Arial" w:eastAsia="Arial" w:hAnsi="Arial"/>
          <w:b/>
          <w:bCs/>
          <w:sz w:val="28"/>
          <w:szCs w:val="28"/>
        </w:rPr>
        <w:t xml:space="preserve">5.2 Thermostat-Derived Environmental and Physiological Proxies</w:t>
      </w:r>
    </w:p>
    <w:p>
      <w:pPr>
        <w:pStyle w:val="ListParagraph"/>
        <w:numPr>
          <w:ilvl w:val="0"/>
          <w:numId w:val="2"/>
        </w:numPr>
        <w:spacing w:after="80"/>
      </w:pPr>
      <w:r>
        <w:rPr>
          <w:rFonts w:ascii="Arial" w:cs="Arial" w:eastAsia="Arial" w:hAnsi="Arial"/>
          <w:sz w:val="24"/>
          <w:szCs w:val="24"/>
        </w:rPr>
        <w:t xml:space="preserve">HVAC usage patterns as indirect proxies for occupancy, activity level, and time-of-day routine.</w:t>
      </w:r>
    </w:p>
    <w:p>
      <w:pPr>
        <w:pStyle w:val="ListParagraph"/>
        <w:numPr>
          <w:ilvl w:val="0"/>
          <w:numId w:val="2"/>
        </w:numPr>
        <w:spacing w:after="80"/>
      </w:pPr>
      <w:r>
        <w:rPr>
          <w:rFonts w:ascii="Arial" w:cs="Arial" w:eastAsia="Arial" w:hAnsi="Arial"/>
          <w:sz w:val="24"/>
          <w:szCs w:val="24"/>
        </w:rPr>
        <w:t xml:space="preserve">Heating and cooling demand patterns relative to external weather as a proxy for metabolic rate changes associated with medication effects or thyroid function changes relevant to mood disorders.</w:t>
      </w:r>
    </w:p>
    <w:p>
      <w:pPr>
        <w:pStyle w:val="ListParagraph"/>
        <w:numPr>
          <w:ilvl w:val="0"/>
          <w:numId w:val="2"/>
        </w:numPr>
        <w:spacing w:after="80"/>
      </w:pPr>
      <w:r>
        <w:rPr>
          <w:rFonts w:ascii="Arial" w:cs="Arial" w:eastAsia="Arial" w:hAnsi="Arial"/>
          <w:sz w:val="24"/>
          <w:szCs w:val="24"/>
        </w:rPr>
        <w:t xml:space="preserve">Humidity sensor data as a respiratory health proxy with indirect relevance to sleep quality.</w:t>
      </w:r>
    </w:p>
    <w:p>
      <w:pPr>
        <w:pStyle w:val="ListParagraph"/>
        <w:numPr>
          <w:ilvl w:val="0"/>
          <w:numId w:val="2"/>
        </w:numPr>
        <w:spacing w:after="80"/>
      </w:pPr>
      <w:r>
        <w:rPr>
          <w:rFonts w:ascii="Arial" w:cs="Arial" w:eastAsia="Arial" w:hAnsi="Arial"/>
          <w:sz w:val="24"/>
          <w:szCs w:val="24"/>
        </w:rPr>
        <w:t xml:space="preserve">Occupancy sensor logs from thermostat-integrated PIR motion detectors as room-level behavioral activity metrics.</w:t>
      </w:r>
    </w:p>
    <w:p>
      <w:pPr>
        <w:pStyle w:val="ListParagraph"/>
        <w:numPr>
          <w:ilvl w:val="0"/>
          <w:numId w:val="2"/>
        </w:numPr>
        <w:spacing w:after="80"/>
      </w:pPr>
      <w:r>
        <w:rPr>
          <w:rFonts w:ascii="Arial" w:cs="Arial" w:eastAsia="Arial" w:hAnsi="Arial"/>
          <w:sz w:val="24"/>
          <w:szCs w:val="24"/>
        </w:rPr>
        <w:t xml:space="preserve">Air quality sensor data (CO2, VOC, PM2.5) from thermostat-integrated sensors as environmental context for cognitive function — elevated CO2 in sleeping spaces has established effects on sleep quality and cognitive performance.</w:t>
      </w:r>
    </w:p>
    <w:p>
      <w:pPr>
        <w:spacing w:after="120"/>
      </w:pPr>
      <w:r>
        <w:t xml:space="preserve"/>
      </w:r>
    </w:p>
    <w:p>
      <w:pPr>
        <w:pStyle w:val="Heading1"/>
      </w:pPr>
      <w:r>
        <w:rPr>
          <w:rFonts w:ascii="Arial" w:cs="Arial" w:eastAsia="Arial" w:hAnsi="Arial"/>
          <w:b/>
          <w:bCs/>
          <w:sz w:val="32"/>
          <w:szCs w:val="32"/>
        </w:rPr>
        <w:t xml:space="preserve">6. Smart Televisions and Streaming Devices</w:t>
      </w:r>
    </w:p>
    <w:p>
      <w:pPr>
        <w:spacing w:after="160"/>
      </w:pPr>
      <w:r>
        <w:rPr>
          <w:rFonts w:ascii="Arial" w:cs="Arial" w:eastAsia="Arial" w:hAnsi="Arial"/>
          <w:sz w:val="24"/>
          <w:szCs w:val="24"/>
        </w:rPr>
        <w:t xml:space="preserve">Smart televisions, streaming sticks, and set-top boxes (Samsung SmartTV, LG webOS, Roku, Apple TV, Amazon Fire TV, Google TV, and similar) represent a major ambient behavioral monitoring platform given the central role of television in home life.</w:t>
      </w:r>
    </w:p>
    <w:p>
      <w:pPr>
        <w:pStyle w:val="Heading2"/>
      </w:pPr>
      <w:r>
        <w:rPr>
          <w:rFonts w:ascii="Arial" w:cs="Arial" w:eastAsia="Arial" w:hAnsi="Arial"/>
          <w:b/>
          <w:bCs/>
          <w:sz w:val="28"/>
          <w:szCs w:val="28"/>
        </w:rPr>
        <w:t xml:space="preserve">6.1 Viewing Pattern Behavioral Analysis</w:t>
      </w:r>
    </w:p>
    <w:p>
      <w:pPr>
        <w:pStyle w:val="ListParagraph"/>
        <w:numPr>
          <w:ilvl w:val="0"/>
          <w:numId w:val="2"/>
        </w:numPr>
        <w:spacing w:after="80"/>
      </w:pPr>
      <w:r>
        <w:rPr>
          <w:rFonts w:ascii="Arial" w:cs="Arial" w:eastAsia="Arial" w:hAnsi="Arial"/>
          <w:sz w:val="24"/>
          <w:szCs w:val="24"/>
        </w:rPr>
        <w:t xml:space="preserve">Television power-on and power-off timing as a sleep and activity schedule proxy.</w:t>
      </w:r>
    </w:p>
    <w:p>
      <w:pPr>
        <w:pStyle w:val="ListParagraph"/>
        <w:numPr>
          <w:ilvl w:val="0"/>
          <w:numId w:val="2"/>
        </w:numPr>
        <w:spacing w:after="80"/>
      </w:pPr>
      <w:r>
        <w:rPr>
          <w:rFonts w:ascii="Arial" w:cs="Arial" w:eastAsia="Arial" w:hAnsi="Arial"/>
          <w:sz w:val="24"/>
          <w:szCs w:val="24"/>
        </w:rPr>
        <w:t xml:space="preserve">Viewing duration per session and total daily viewing hours as behavioral activation metrics — excessive television viewing associated with depression and social withdrawal; reduced viewing in previously heavy viewers potentially indicating psychomotor agitation or sleep disruption.</w:t>
      </w:r>
    </w:p>
    <w:p>
      <w:pPr>
        <w:pStyle w:val="ListParagraph"/>
        <w:numPr>
          <w:ilvl w:val="0"/>
          <w:numId w:val="2"/>
        </w:numPr>
        <w:spacing w:after="80"/>
      </w:pPr>
      <w:r>
        <w:rPr>
          <w:rFonts w:ascii="Arial" w:cs="Arial" w:eastAsia="Arial" w:hAnsi="Arial"/>
          <w:sz w:val="24"/>
          <w:szCs w:val="24"/>
        </w:rPr>
        <w:t xml:space="preserve">Content category preferences (news, comedy, drama, reality, sports, documentary) and changes in preference over time as mood-correlated behavioral markers.</w:t>
      </w:r>
    </w:p>
    <w:p>
      <w:pPr>
        <w:pStyle w:val="ListParagraph"/>
        <w:numPr>
          <w:ilvl w:val="0"/>
          <w:numId w:val="2"/>
        </w:numPr>
        <w:spacing w:after="80"/>
      </w:pPr>
      <w:r>
        <w:rPr>
          <w:rFonts w:ascii="Arial" w:cs="Arial" w:eastAsia="Arial" w:hAnsi="Arial"/>
          <w:sz w:val="24"/>
          <w:szCs w:val="24"/>
        </w:rPr>
        <w:t xml:space="preserve">Binge-watching pattern detection — consecutive episode consumption without pause — as impulse control and behavioral regulation metric.</w:t>
      </w:r>
    </w:p>
    <w:p>
      <w:pPr>
        <w:pStyle w:val="ListParagraph"/>
        <w:numPr>
          <w:ilvl w:val="0"/>
          <w:numId w:val="2"/>
        </w:numPr>
        <w:spacing w:after="80"/>
      </w:pPr>
      <w:r>
        <w:rPr>
          <w:rFonts w:ascii="Arial" w:cs="Arial" w:eastAsia="Arial" w:hAnsi="Arial"/>
          <w:sz w:val="24"/>
          <w:szCs w:val="24"/>
        </w:rPr>
        <w:t xml:space="preserve">Channel or content switching frequency as attention and cognitive engagement metric.</w:t>
      </w:r>
    </w:p>
    <w:p>
      <w:pPr>
        <w:pStyle w:val="ListParagraph"/>
        <w:numPr>
          <w:ilvl w:val="0"/>
          <w:numId w:val="2"/>
        </w:numPr>
        <w:spacing w:after="80"/>
      </w:pPr>
      <w:r>
        <w:rPr>
          <w:rFonts w:ascii="Arial" w:cs="Arial" w:eastAsia="Arial" w:hAnsi="Arial"/>
          <w:sz w:val="24"/>
          <w:szCs w:val="24"/>
        </w:rPr>
        <w:t xml:space="preserve">Late-night and overnight viewing as sleep disturbance marker.</w:t>
      </w:r>
    </w:p>
    <w:p>
      <w:pPr>
        <w:pStyle w:val="ListParagraph"/>
        <w:numPr>
          <w:ilvl w:val="0"/>
          <w:numId w:val="2"/>
        </w:numPr>
        <w:spacing w:after="80"/>
      </w:pPr>
      <w:r>
        <w:rPr>
          <w:rFonts w:ascii="Arial" w:cs="Arial" w:eastAsia="Arial" w:hAnsi="Arial"/>
          <w:sz w:val="24"/>
          <w:szCs w:val="24"/>
        </w:rPr>
        <w:t xml:space="preserve">Response to recommendation interfaces — time taken to make content selections, frequency of abandoning selections — as decision-making and executive function proxies.</w:t>
      </w:r>
    </w:p>
    <w:p>
      <w:pPr>
        <w:pStyle w:val="ListParagraph"/>
        <w:numPr>
          <w:ilvl w:val="0"/>
          <w:numId w:val="2"/>
        </w:numPr>
        <w:spacing w:after="80"/>
      </w:pPr>
      <w:r>
        <w:rPr>
          <w:rFonts w:ascii="Arial" w:cs="Arial" w:eastAsia="Arial" w:hAnsi="Arial"/>
          <w:sz w:val="24"/>
          <w:szCs w:val="24"/>
        </w:rPr>
        <w:t xml:space="preserve">Volume setting patterns including unusual volume increases or decreases relative to individual baseline as auditory processing or social isolation change markers.</w:t>
      </w:r>
    </w:p>
    <w:p>
      <w:pPr>
        <w:pStyle w:val="ListParagraph"/>
        <w:numPr>
          <w:ilvl w:val="0"/>
          <w:numId w:val="2"/>
        </w:numPr>
        <w:spacing w:after="80"/>
      </w:pPr>
      <w:r>
        <w:rPr>
          <w:rFonts w:ascii="Arial" w:cs="Arial" w:eastAsia="Arial" w:hAnsi="Arial"/>
          <w:sz w:val="24"/>
          <w:szCs w:val="24"/>
        </w:rPr>
        <w:t xml:space="preserve">Closed caption and audio description usage patterns as sensory function proxies.</w:t>
      </w:r>
    </w:p>
    <w:p>
      <w:pPr>
        <w:pStyle w:val="ListParagraph"/>
        <w:numPr>
          <w:ilvl w:val="0"/>
          <w:numId w:val="2"/>
        </w:numPr>
        <w:spacing w:after="80"/>
      </w:pPr>
      <w:r>
        <w:rPr>
          <w:rFonts w:ascii="Arial" w:cs="Arial" w:eastAsia="Arial" w:hAnsi="Arial"/>
          <w:sz w:val="24"/>
          <w:szCs w:val="24"/>
        </w:rPr>
        <w:t xml:space="preserve">Pause, rewind, and replay frequency as cognitive processing and attention metrics.</w:t>
      </w:r>
    </w:p>
    <w:p>
      <w:pPr>
        <w:pStyle w:val="ListParagraph"/>
        <w:numPr>
          <w:ilvl w:val="0"/>
          <w:numId w:val="2"/>
        </w:numPr>
        <w:spacing w:after="80"/>
      </w:pPr>
      <w:r>
        <w:rPr>
          <w:rFonts w:ascii="Arial" w:cs="Arial" w:eastAsia="Arial" w:hAnsi="Arial"/>
          <w:sz w:val="24"/>
          <w:szCs w:val="24"/>
        </w:rPr>
        <w:t xml:space="preserve">Search query behavior on content discovery interfaces as linguistic and cognitive complexity metrics.</w:t>
      </w:r>
    </w:p>
    <w:p>
      <w:pPr>
        <w:spacing w:after="120"/>
      </w:pPr>
      <w:r>
        <w:t xml:space="preserve"/>
      </w:r>
    </w:p>
    <w:p>
      <w:pPr>
        <w:pStyle w:val="Heading2"/>
      </w:pPr>
      <w:r>
        <w:rPr>
          <w:rFonts w:ascii="Arial" w:cs="Arial" w:eastAsia="Arial" w:hAnsi="Arial"/>
          <w:b/>
          <w:bCs/>
          <w:sz w:val="28"/>
          <w:szCs w:val="28"/>
        </w:rPr>
        <w:t xml:space="preserve">6.2 Smart TV Integrated Sensor Data</w:t>
      </w:r>
    </w:p>
    <w:p>
      <w:pPr>
        <w:pStyle w:val="ListParagraph"/>
        <w:numPr>
          <w:ilvl w:val="0"/>
          <w:numId w:val="2"/>
        </w:numPr>
        <w:spacing w:after="80"/>
      </w:pPr>
      <w:r>
        <w:rPr>
          <w:rFonts w:ascii="Arial" w:cs="Arial" w:eastAsia="Arial" w:hAnsi="Arial"/>
          <w:sz w:val="24"/>
          <w:szCs w:val="24"/>
        </w:rPr>
        <w:t xml:space="preserve">Built-in microphone arrays on voice-enabled smart TVs for ambient sound classification and voice command analysis using the same approaches described in the smart speaker section.</w:t>
      </w:r>
    </w:p>
    <w:p>
      <w:pPr>
        <w:pStyle w:val="ListParagraph"/>
        <w:numPr>
          <w:ilvl w:val="0"/>
          <w:numId w:val="2"/>
        </w:numPr>
        <w:spacing w:after="80"/>
      </w:pPr>
      <w:r>
        <w:rPr>
          <w:rFonts w:ascii="Arial" w:cs="Arial" w:eastAsia="Arial" w:hAnsi="Arial"/>
          <w:sz w:val="24"/>
          <w:szCs w:val="24"/>
        </w:rPr>
        <w:t xml:space="preserve">Built-in cameras on camera-equipped televisions for room occupancy detection, viewer presence confirmation, and remote affect analysis.</w:t>
      </w:r>
    </w:p>
    <w:p>
      <w:pPr>
        <w:pStyle w:val="ListParagraph"/>
        <w:numPr>
          <w:ilvl w:val="0"/>
          <w:numId w:val="2"/>
        </w:numPr>
        <w:spacing w:after="80"/>
      </w:pPr>
      <w:r>
        <w:rPr>
          <w:rFonts w:ascii="Arial" w:cs="Arial" w:eastAsia="Arial" w:hAnsi="Arial"/>
          <w:sz w:val="24"/>
          <w:szCs w:val="24"/>
        </w:rPr>
        <w:t xml:space="preserve">Ambient light sensors for room illumination context.</w:t>
      </w:r>
    </w:p>
    <w:p>
      <w:pPr>
        <w:pStyle w:val="ListParagraph"/>
        <w:numPr>
          <w:ilvl w:val="0"/>
          <w:numId w:val="2"/>
        </w:numPr>
        <w:spacing w:after="80"/>
      </w:pPr>
      <w:r>
        <w:rPr>
          <w:rFonts w:ascii="Arial" w:cs="Arial" w:eastAsia="Arial" w:hAnsi="Arial"/>
          <w:sz w:val="24"/>
          <w:szCs w:val="24"/>
        </w:rPr>
        <w:t xml:space="preserve">Automatic content recognition (ACR) derived content signatures as behavioral markers, even without direct content logging.</w:t>
      </w:r>
    </w:p>
    <w:p>
      <w:pPr>
        <w:pStyle w:val="ListParagraph"/>
        <w:numPr>
          <w:ilvl w:val="0"/>
          <w:numId w:val="2"/>
        </w:numPr>
        <w:spacing w:after="80"/>
      </w:pPr>
      <w:r>
        <w:rPr>
          <w:rFonts w:ascii="Arial" w:cs="Arial" w:eastAsia="Arial" w:hAnsi="Arial"/>
          <w:sz w:val="24"/>
          <w:szCs w:val="24"/>
        </w:rPr>
        <w:t xml:space="preserve">HDMI-CEC device interaction logs for connected device usage pattern analysis.</w:t>
      </w:r>
    </w:p>
    <w:p>
      <w:pPr>
        <w:spacing w:after="120"/>
      </w:pPr>
      <w:r>
        <w:t xml:space="preserve"/>
      </w:r>
    </w:p>
    <w:p>
      <w:pPr>
        <w:pStyle w:val="Heading1"/>
      </w:pPr>
      <w:r>
        <w:rPr>
          <w:rFonts w:ascii="Arial" w:cs="Arial" w:eastAsia="Arial" w:hAnsi="Arial"/>
          <w:b/>
          <w:bCs/>
          <w:sz w:val="32"/>
          <w:szCs w:val="32"/>
        </w:rPr>
        <w:t xml:space="preserve">7. Home Network Infrastructure</w:t>
      </w:r>
    </w:p>
    <w:p>
      <w:pPr>
        <w:spacing w:after="160"/>
      </w:pPr>
      <w:r>
        <w:rPr>
          <w:rFonts w:ascii="Arial" w:cs="Arial" w:eastAsia="Arial" w:hAnsi="Arial"/>
          <w:sz w:val="24"/>
          <w:szCs w:val="24"/>
        </w:rPr>
        <w:t xml:space="preserve">Wi-Fi routers, mesh network systems (Eero, Orbi, Google Nest WiFi, and similar), and home network monitoring devices produce rich behavioral telemetry.</w:t>
      </w:r>
    </w:p>
    <w:p>
      <w:pPr>
        <w:pStyle w:val="Heading2"/>
      </w:pPr>
      <w:r>
        <w:rPr>
          <w:rFonts w:ascii="Arial" w:cs="Arial" w:eastAsia="Arial" w:hAnsi="Arial"/>
          <w:b/>
          <w:bCs/>
          <w:sz w:val="28"/>
          <w:szCs w:val="28"/>
        </w:rPr>
        <w:t xml:space="preserve">7.1 Network Traffic Pattern Analysis</w:t>
      </w:r>
    </w:p>
    <w:p>
      <w:pPr>
        <w:pStyle w:val="ListParagraph"/>
        <w:numPr>
          <w:ilvl w:val="0"/>
          <w:numId w:val="2"/>
        </w:numPr>
        <w:spacing w:after="80"/>
      </w:pPr>
      <w:r>
        <w:rPr>
          <w:rFonts w:ascii="Arial" w:cs="Arial" w:eastAsia="Arial" w:hAnsi="Arial"/>
          <w:sz w:val="24"/>
          <w:szCs w:val="24"/>
        </w:rPr>
        <w:t xml:space="preserve">Device connection and disconnection patterns for each device in the home as a proxy for occupant presence, device usage patterns, and behavioral routines.</w:t>
      </w:r>
    </w:p>
    <w:p>
      <w:pPr>
        <w:pStyle w:val="ListParagraph"/>
        <w:numPr>
          <w:ilvl w:val="0"/>
          <w:numId w:val="2"/>
        </w:numPr>
        <w:spacing w:after="80"/>
      </w:pPr>
      <w:r>
        <w:rPr>
          <w:rFonts w:ascii="Arial" w:cs="Arial" w:eastAsia="Arial" w:hAnsi="Arial"/>
          <w:sz w:val="24"/>
          <w:szCs w:val="24"/>
        </w:rPr>
        <w:t xml:space="preserve">Data consumption patterns by device and time-of-day as behavioral activity metrics.</w:t>
      </w:r>
    </w:p>
    <w:p>
      <w:pPr>
        <w:pStyle w:val="ListParagraph"/>
        <w:numPr>
          <w:ilvl w:val="0"/>
          <w:numId w:val="2"/>
        </w:numPr>
        <w:spacing w:after="80"/>
      </w:pPr>
      <w:r>
        <w:rPr>
          <w:rFonts w:ascii="Arial" w:cs="Arial" w:eastAsia="Arial" w:hAnsi="Arial"/>
          <w:sz w:val="24"/>
          <w:szCs w:val="24"/>
        </w:rPr>
        <w:t xml:space="preserve">New device connection events as a social contact proxy (visitor devices joining home network).</w:t>
      </w:r>
    </w:p>
    <w:p>
      <w:pPr>
        <w:pStyle w:val="ListParagraph"/>
        <w:numPr>
          <w:ilvl w:val="0"/>
          <w:numId w:val="2"/>
        </w:numPr>
        <w:spacing w:after="80"/>
      </w:pPr>
      <w:r>
        <w:rPr>
          <w:rFonts w:ascii="Arial" w:cs="Arial" w:eastAsia="Arial" w:hAnsi="Arial"/>
          <w:sz w:val="24"/>
          <w:szCs w:val="24"/>
        </w:rPr>
        <w:t xml:space="preserve">Application and service traffic patterns — without content inspection — as behavioral category metrics (streaming, communication, social media, health applications).</w:t>
      </w:r>
    </w:p>
    <w:p>
      <w:pPr>
        <w:pStyle w:val="ListParagraph"/>
        <w:numPr>
          <w:ilvl w:val="0"/>
          <w:numId w:val="2"/>
        </w:numPr>
        <w:spacing w:after="80"/>
      </w:pPr>
      <w:r>
        <w:rPr>
          <w:rFonts w:ascii="Arial" w:cs="Arial" w:eastAsia="Arial" w:hAnsi="Arial"/>
          <w:sz w:val="24"/>
          <w:szCs w:val="24"/>
        </w:rPr>
        <w:t xml:space="preserve">Time-of-night network activity as a sleep disturbance metric.</w:t>
      </w:r>
    </w:p>
    <w:p>
      <w:pPr>
        <w:pStyle w:val="ListParagraph"/>
        <w:numPr>
          <w:ilvl w:val="0"/>
          <w:numId w:val="2"/>
        </w:numPr>
        <w:spacing w:after="80"/>
      </w:pPr>
      <w:r>
        <w:rPr>
          <w:rFonts w:ascii="Arial" w:cs="Arial" w:eastAsia="Arial" w:hAnsi="Arial"/>
          <w:sz w:val="24"/>
          <w:szCs w:val="24"/>
        </w:rPr>
        <w:t xml:space="preserve">DNS query frequency patterns as application usage proxies without content logging.</w:t>
      </w:r>
    </w:p>
    <w:p>
      <w:pPr>
        <w:pStyle w:val="ListParagraph"/>
        <w:numPr>
          <w:ilvl w:val="0"/>
          <w:numId w:val="2"/>
        </w:numPr>
        <w:spacing w:after="80"/>
      </w:pPr>
      <w:r>
        <w:rPr>
          <w:rFonts w:ascii="Arial" w:cs="Arial" w:eastAsia="Arial" w:hAnsi="Arial"/>
          <w:sz w:val="24"/>
          <w:szCs w:val="24"/>
        </w:rPr>
        <w:t xml:space="preserve">Wi-Fi signal strength variation correlated with occupant location within the home for room-level presence inference.</w:t>
      </w:r>
    </w:p>
    <w:p>
      <w:pPr>
        <w:spacing w:after="120"/>
      </w:pPr>
      <w:r>
        <w:t xml:space="preserve"/>
      </w:r>
    </w:p>
    <w:p>
      <w:pPr>
        <w:pStyle w:val="Heading2"/>
      </w:pPr>
      <w:r>
        <w:rPr>
          <w:rFonts w:ascii="Arial" w:cs="Arial" w:eastAsia="Arial" w:hAnsi="Arial"/>
          <w:b/>
          <w:bCs/>
          <w:sz w:val="28"/>
          <w:szCs w:val="28"/>
        </w:rPr>
        <w:t xml:space="preserve">7.2 Connected Device Ecosystem State</w:t>
      </w:r>
    </w:p>
    <w:p>
      <w:pPr>
        <w:pStyle w:val="ListParagraph"/>
        <w:numPr>
          <w:ilvl w:val="0"/>
          <w:numId w:val="2"/>
        </w:numPr>
        <w:spacing w:after="80"/>
      </w:pPr>
      <w:r>
        <w:rPr>
          <w:rFonts w:ascii="Arial" w:cs="Arial" w:eastAsia="Arial" w:hAnsi="Arial"/>
          <w:sz w:val="24"/>
          <w:szCs w:val="24"/>
        </w:rPr>
        <w:t xml:space="preserve">Number of active devices at any time as a household activity metric.</w:t>
      </w:r>
    </w:p>
    <w:p>
      <w:pPr>
        <w:pStyle w:val="ListParagraph"/>
        <w:numPr>
          <w:ilvl w:val="0"/>
          <w:numId w:val="2"/>
        </w:numPr>
        <w:spacing w:after="80"/>
      </w:pPr>
      <w:r>
        <w:rPr>
          <w:rFonts w:ascii="Arial" w:cs="Arial" w:eastAsia="Arial" w:hAnsi="Arial"/>
          <w:sz w:val="24"/>
          <w:szCs w:val="24"/>
        </w:rPr>
        <w:t xml:space="preserve">Device firmware update compliance as a cognitive self-care and executive function metric — failure to update known vulnerable firmware may reflect executive function decline in technically competent individuals.</w:t>
      </w:r>
    </w:p>
    <w:p>
      <w:pPr>
        <w:pStyle w:val="ListParagraph"/>
        <w:numPr>
          <w:ilvl w:val="0"/>
          <w:numId w:val="2"/>
        </w:numPr>
        <w:spacing w:after="80"/>
      </w:pPr>
      <w:r>
        <w:rPr>
          <w:rFonts w:ascii="Arial" w:cs="Arial" w:eastAsia="Arial" w:hAnsi="Arial"/>
          <w:sz w:val="24"/>
          <w:szCs w:val="24"/>
        </w:rPr>
        <w:t xml:space="preserve">Smart home automation routine execution patterns — whether user-defined automations are triggered as expected — as a behavioral routine regularity metric.</w:t>
      </w:r>
    </w:p>
    <w:p>
      <w:pPr>
        <w:pStyle w:val="ListParagraph"/>
        <w:numPr>
          <w:ilvl w:val="0"/>
          <w:numId w:val="2"/>
        </w:numPr>
        <w:spacing w:after="80"/>
      </w:pPr>
      <w:r>
        <w:rPr>
          <w:rFonts w:ascii="Arial" w:cs="Arial" w:eastAsia="Arial" w:hAnsi="Arial"/>
          <w:sz w:val="24"/>
          <w:szCs w:val="24"/>
        </w:rPr>
        <w:t xml:space="preserve">Router web interface access frequency and settings change events as technical engagement metrics.</w:t>
      </w:r>
    </w:p>
    <w:p>
      <w:pPr>
        <w:spacing w:after="120"/>
      </w:pPr>
      <w:r>
        <w:t xml:space="preserve"/>
      </w:r>
    </w:p>
    <w:p>
      <w:pPr>
        <w:pStyle w:val="Heading1"/>
      </w:pPr>
      <w:r>
        <w:rPr>
          <w:rFonts w:ascii="Arial" w:cs="Arial" w:eastAsia="Arial" w:hAnsi="Arial"/>
          <w:b/>
          <w:bCs/>
          <w:sz w:val="32"/>
          <w:szCs w:val="32"/>
        </w:rPr>
        <w:t xml:space="preserve">8. Smart Appliances and Utility Devices</w:t>
      </w:r>
    </w:p>
    <w:p>
      <w:pPr>
        <w:pStyle w:val="Heading2"/>
      </w:pPr>
      <w:r>
        <w:rPr>
          <w:rFonts w:ascii="Arial" w:cs="Arial" w:eastAsia="Arial" w:hAnsi="Arial"/>
          <w:b/>
          <w:bCs/>
          <w:sz w:val="28"/>
          <w:szCs w:val="28"/>
        </w:rPr>
        <w:t xml:space="preserve">8.1 Kitchen Appliances</w:t>
      </w:r>
    </w:p>
    <w:p>
      <w:pPr>
        <w:pStyle w:val="ListParagraph"/>
        <w:numPr>
          <w:ilvl w:val="0"/>
          <w:numId w:val="2"/>
        </w:numPr>
        <w:spacing w:after="80"/>
      </w:pPr>
      <w:r>
        <w:rPr>
          <w:rFonts w:ascii="Arial" w:cs="Arial" w:eastAsia="Arial" w:hAnsi="Arial"/>
          <w:sz w:val="24"/>
          <w:szCs w:val="24"/>
        </w:rPr>
        <w:t xml:space="preserve">Smart refrigerator door open frequency, duration, and time-of-day patterns as meal preparation, appetite, and eating routine metrics correlated with depression, mania, and medication effects.</w:t>
      </w:r>
    </w:p>
    <w:p>
      <w:pPr>
        <w:pStyle w:val="ListParagraph"/>
        <w:numPr>
          <w:ilvl w:val="0"/>
          <w:numId w:val="2"/>
        </w:numPr>
        <w:spacing w:after="80"/>
      </w:pPr>
      <w:r>
        <w:rPr>
          <w:rFonts w:ascii="Arial" w:cs="Arial" w:eastAsia="Arial" w:hAnsi="Arial"/>
          <w:sz w:val="24"/>
          <w:szCs w:val="24"/>
        </w:rPr>
        <w:t xml:space="preserve">Smart microwave, oven, and stove usage patterns as meal preparation frequency and self-care metrics.</w:t>
      </w:r>
    </w:p>
    <w:p>
      <w:pPr>
        <w:pStyle w:val="ListParagraph"/>
        <w:numPr>
          <w:ilvl w:val="0"/>
          <w:numId w:val="2"/>
        </w:numPr>
        <w:spacing w:after="80"/>
      </w:pPr>
      <w:r>
        <w:rPr>
          <w:rFonts w:ascii="Arial" w:cs="Arial" w:eastAsia="Arial" w:hAnsi="Arial"/>
          <w:sz w:val="24"/>
          <w:szCs w:val="24"/>
        </w:rPr>
        <w:t xml:space="preserve">Coffee maker initiation timing as morning routine and sleep timing proxy.</w:t>
      </w:r>
    </w:p>
    <w:p>
      <w:pPr>
        <w:pStyle w:val="ListParagraph"/>
        <w:numPr>
          <w:ilvl w:val="0"/>
          <w:numId w:val="2"/>
        </w:numPr>
        <w:spacing w:after="80"/>
      </w:pPr>
      <w:r>
        <w:rPr>
          <w:rFonts w:ascii="Arial" w:cs="Arial" w:eastAsia="Arial" w:hAnsi="Arial"/>
          <w:sz w:val="24"/>
          <w:szCs w:val="24"/>
        </w:rPr>
        <w:t xml:space="preserve">Smart dishwasher usage frequency as a household functional activity metric.</w:t>
      </w:r>
    </w:p>
    <w:p>
      <w:pPr>
        <w:pStyle w:val="ListParagraph"/>
        <w:numPr>
          <w:ilvl w:val="0"/>
          <w:numId w:val="2"/>
        </w:numPr>
        <w:spacing w:after="80"/>
      </w:pPr>
      <w:r>
        <w:rPr>
          <w:rFonts w:ascii="Arial" w:cs="Arial" w:eastAsia="Arial" w:hAnsi="Arial"/>
          <w:sz w:val="24"/>
          <w:szCs w:val="24"/>
        </w:rPr>
        <w:t xml:space="preserve">Water dispenser activation frequency as hydration monitoring proxy relevant to medication-related thirst changes.</w:t>
      </w:r>
    </w:p>
    <w:p>
      <w:pPr>
        <w:pStyle w:val="ListParagraph"/>
        <w:numPr>
          <w:ilvl w:val="0"/>
          <w:numId w:val="2"/>
        </w:numPr>
        <w:spacing w:after="80"/>
      </w:pPr>
      <w:r>
        <w:rPr>
          <w:rFonts w:ascii="Arial" w:cs="Arial" w:eastAsia="Arial" w:hAnsi="Arial"/>
          <w:sz w:val="24"/>
          <w:szCs w:val="24"/>
        </w:rPr>
        <w:t xml:space="preserve">Smart scale interaction frequency and weight trajectory as physical health metric with bidirectional relationship to psychiatric conditions and their treatments.</w:t>
      </w:r>
    </w:p>
    <w:p>
      <w:pPr>
        <w:spacing w:after="120"/>
      </w:pPr>
      <w:r>
        <w:t xml:space="preserve"/>
      </w:r>
    </w:p>
    <w:p>
      <w:pPr>
        <w:pStyle w:val="Heading2"/>
      </w:pPr>
      <w:r>
        <w:rPr>
          <w:rFonts w:ascii="Arial" w:cs="Arial" w:eastAsia="Arial" w:hAnsi="Arial"/>
          <w:b/>
          <w:bCs/>
          <w:sz w:val="28"/>
          <w:szCs w:val="28"/>
        </w:rPr>
        <w:t xml:space="preserve">8.2 Bathroom and Personal Care Devices</w:t>
      </w:r>
    </w:p>
    <w:p>
      <w:pPr>
        <w:pStyle w:val="ListParagraph"/>
        <w:numPr>
          <w:ilvl w:val="0"/>
          <w:numId w:val="2"/>
        </w:numPr>
        <w:spacing w:after="80"/>
      </w:pPr>
      <w:r>
        <w:rPr>
          <w:rFonts w:ascii="Arial" w:cs="Arial" w:eastAsia="Arial" w:hAnsi="Arial"/>
          <w:sz w:val="24"/>
          <w:szCs w:val="24"/>
        </w:rPr>
        <w:t xml:space="preserve">Smart toothbrush usage frequency, duration, and timing as a personal hygiene self-care routine metric, with reduced dental hygiene being an established early marker of depression and schizophrenia.</w:t>
      </w:r>
    </w:p>
    <w:p>
      <w:pPr>
        <w:pStyle w:val="ListParagraph"/>
        <w:numPr>
          <w:ilvl w:val="0"/>
          <w:numId w:val="2"/>
        </w:numPr>
        <w:spacing w:after="80"/>
      </w:pPr>
      <w:r>
        <w:rPr>
          <w:rFonts w:ascii="Arial" w:cs="Arial" w:eastAsia="Arial" w:hAnsi="Arial"/>
          <w:sz w:val="24"/>
          <w:szCs w:val="24"/>
        </w:rPr>
        <w:t xml:space="preserve">Smart shower duration and time-of-day as personal hygiene and morning routine metrics.</w:t>
      </w:r>
    </w:p>
    <w:p>
      <w:pPr>
        <w:pStyle w:val="ListParagraph"/>
        <w:numPr>
          <w:ilvl w:val="0"/>
          <w:numId w:val="2"/>
        </w:numPr>
        <w:spacing w:after="80"/>
      </w:pPr>
      <w:r>
        <w:rPr>
          <w:rFonts w:ascii="Arial" w:cs="Arial" w:eastAsia="Arial" w:hAnsi="Arial"/>
          <w:sz w:val="24"/>
          <w:szCs w:val="24"/>
        </w:rPr>
        <w:t xml:space="preserve">Smart toilet usage frequency and timing as health and routine metrics.</w:t>
      </w:r>
    </w:p>
    <w:p>
      <w:pPr>
        <w:pStyle w:val="ListParagraph"/>
        <w:numPr>
          <w:ilvl w:val="0"/>
          <w:numId w:val="2"/>
        </w:numPr>
        <w:spacing w:after="80"/>
      </w:pPr>
      <w:r>
        <w:rPr>
          <w:rFonts w:ascii="Arial" w:cs="Arial" w:eastAsia="Arial" w:hAnsi="Arial"/>
          <w:sz w:val="24"/>
          <w:szCs w:val="24"/>
        </w:rPr>
        <w:t xml:space="preserve">Bathroom occupancy sensor activation patterns as morning routine regularity metrics.</w:t>
      </w:r>
    </w:p>
    <w:p>
      <w:pPr>
        <w:spacing w:after="120"/>
      </w:pPr>
      <w:r>
        <w:t xml:space="preserve"/>
      </w:r>
    </w:p>
    <w:p>
      <w:pPr>
        <w:pStyle w:val="Heading2"/>
      </w:pPr>
      <w:r>
        <w:rPr>
          <w:rFonts w:ascii="Arial" w:cs="Arial" w:eastAsia="Arial" w:hAnsi="Arial"/>
          <w:b/>
          <w:bCs/>
          <w:sz w:val="28"/>
          <w:szCs w:val="28"/>
        </w:rPr>
        <w:t xml:space="preserve">8.3 Laundry and Home Maintenance</w:t>
      </w:r>
    </w:p>
    <w:p>
      <w:pPr>
        <w:pStyle w:val="ListParagraph"/>
        <w:numPr>
          <w:ilvl w:val="0"/>
          <w:numId w:val="2"/>
        </w:numPr>
        <w:spacing w:after="80"/>
      </w:pPr>
      <w:r>
        <w:rPr>
          <w:rFonts w:ascii="Arial" w:cs="Arial" w:eastAsia="Arial" w:hAnsi="Arial"/>
          <w:sz w:val="24"/>
          <w:szCs w:val="24"/>
        </w:rPr>
        <w:t xml:space="preserve">Washing machine and dryer usage frequency as household functional activity and self-care metric.</w:t>
      </w:r>
    </w:p>
    <w:p>
      <w:pPr>
        <w:pStyle w:val="ListParagraph"/>
        <w:numPr>
          <w:ilvl w:val="0"/>
          <w:numId w:val="2"/>
        </w:numPr>
        <w:spacing w:after="80"/>
      </w:pPr>
      <w:r>
        <w:rPr>
          <w:rFonts w:ascii="Arial" w:cs="Arial" w:eastAsia="Arial" w:hAnsi="Arial"/>
          <w:sz w:val="24"/>
          <w:szCs w:val="24"/>
        </w:rPr>
        <w:t xml:space="preserve">Robot vacuum scheduling adherence as executive function and home maintenance metric.</w:t>
      </w:r>
    </w:p>
    <w:p>
      <w:pPr>
        <w:pStyle w:val="ListParagraph"/>
        <w:numPr>
          <w:ilvl w:val="0"/>
          <w:numId w:val="2"/>
        </w:numPr>
        <w:spacing w:after="80"/>
      </w:pPr>
      <w:r>
        <w:rPr>
          <w:rFonts w:ascii="Arial" w:cs="Arial" w:eastAsia="Arial" w:hAnsi="Arial"/>
          <w:sz w:val="24"/>
          <w:szCs w:val="24"/>
        </w:rPr>
        <w:t xml:space="preserve">Smart lighting on/off patterns throughout the home as room-by-room activity reconstruction data.</w:t>
      </w:r>
    </w:p>
    <w:p>
      <w:pPr>
        <w:spacing w:after="120"/>
      </w:pPr>
      <w:r>
        <w:t xml:space="preserve"/>
      </w:r>
    </w:p>
    <w:p>
      <w:pPr>
        <w:pStyle w:val="Heading1"/>
      </w:pPr>
      <w:r>
        <w:rPr>
          <w:rFonts w:ascii="Arial" w:cs="Arial" w:eastAsia="Arial" w:hAnsi="Arial"/>
          <w:b/>
          <w:bCs/>
          <w:sz w:val="32"/>
          <w:szCs w:val="32"/>
        </w:rPr>
        <w:t xml:space="preserve">9. Wearable-Adjacent and Indirect Sensors</w:t>
      </w:r>
    </w:p>
    <w:p>
      <w:pPr>
        <w:pStyle w:val="Heading2"/>
      </w:pPr>
      <w:r>
        <w:rPr>
          <w:rFonts w:ascii="Arial" w:cs="Arial" w:eastAsia="Arial" w:hAnsi="Arial"/>
          <w:b/>
          <w:bCs/>
          <w:sz w:val="28"/>
          <w:szCs w:val="28"/>
        </w:rPr>
        <w:t xml:space="preserve">9.1 Ambient Health Monitoring Devices</w:t>
      </w:r>
    </w:p>
    <w:p>
      <w:pPr>
        <w:pStyle w:val="ListParagraph"/>
        <w:numPr>
          <w:ilvl w:val="0"/>
          <w:numId w:val="2"/>
        </w:numPr>
        <w:spacing w:after="80"/>
      </w:pPr>
      <w:r>
        <w:rPr>
          <w:rFonts w:ascii="Arial" w:cs="Arial" w:eastAsia="Arial" w:hAnsi="Arial"/>
          <w:sz w:val="24"/>
          <w:szCs w:val="24"/>
        </w:rPr>
        <w:t xml:space="preserve">Connected blood pressure monitors — usage frequency, time-of-day, and reading trends as health self-monitoring behavior metrics, with hypertensive crisis risk correlated with psychiatric medication interactions.</w:t>
      </w:r>
    </w:p>
    <w:p>
      <w:pPr>
        <w:pStyle w:val="ListParagraph"/>
        <w:numPr>
          <w:ilvl w:val="0"/>
          <w:numId w:val="2"/>
        </w:numPr>
        <w:spacing w:after="80"/>
      </w:pPr>
      <w:r>
        <w:rPr>
          <w:rFonts w:ascii="Arial" w:cs="Arial" w:eastAsia="Arial" w:hAnsi="Arial"/>
          <w:sz w:val="24"/>
          <w:szCs w:val="24"/>
        </w:rPr>
        <w:t xml:space="preserve">Connected pulse oximeters, glucometers, and weight scales as health monitoring behavior metrics.</w:t>
      </w:r>
    </w:p>
    <w:p>
      <w:pPr>
        <w:pStyle w:val="ListParagraph"/>
        <w:numPr>
          <w:ilvl w:val="0"/>
          <w:numId w:val="2"/>
        </w:numPr>
        <w:spacing w:after="80"/>
      </w:pPr>
      <w:r>
        <w:rPr>
          <w:rFonts w:ascii="Arial" w:cs="Arial" w:eastAsia="Arial" w:hAnsi="Arial"/>
          <w:sz w:val="24"/>
          <w:szCs w:val="24"/>
        </w:rPr>
        <w:t xml:space="preserve">Continuous glucose monitors (CGM) with ambient data transmission for mood-relevant glucose variability monitoring.</w:t>
      </w:r>
    </w:p>
    <w:p>
      <w:pPr>
        <w:pStyle w:val="ListParagraph"/>
        <w:numPr>
          <w:ilvl w:val="0"/>
          <w:numId w:val="2"/>
        </w:numPr>
        <w:spacing w:after="80"/>
      </w:pPr>
      <w:r>
        <w:rPr>
          <w:rFonts w:ascii="Arial" w:cs="Arial" w:eastAsia="Arial" w:hAnsi="Arial"/>
          <w:sz w:val="24"/>
          <w:szCs w:val="24"/>
        </w:rPr>
        <w:t xml:space="preserve">Connected medication dispensers including dose dispensing time, missed doses, and manual override events as medication adherence metrics central to psychiatric relapse prevention.</w:t>
      </w:r>
    </w:p>
    <w:p>
      <w:pPr>
        <w:pStyle w:val="ListParagraph"/>
        <w:numPr>
          <w:ilvl w:val="0"/>
          <w:numId w:val="2"/>
        </w:numPr>
        <w:spacing w:after="80"/>
      </w:pPr>
      <w:r>
        <w:rPr>
          <w:rFonts w:ascii="Arial" w:cs="Arial" w:eastAsia="Arial" w:hAnsi="Arial"/>
          <w:sz w:val="24"/>
          <w:szCs w:val="24"/>
        </w:rPr>
        <w:t xml:space="preserve">Automatic pill dispensers with alert acknowledgment patterns as cognitive alertness and routine adherence metrics.</w:t>
      </w:r>
    </w:p>
    <w:p>
      <w:pPr>
        <w:spacing w:after="120"/>
      </w:pPr>
      <w:r>
        <w:t xml:space="preserve"/>
      </w:r>
    </w:p>
    <w:p>
      <w:pPr>
        <w:pStyle w:val="Heading2"/>
      </w:pPr>
      <w:r>
        <w:rPr>
          <w:rFonts w:ascii="Arial" w:cs="Arial" w:eastAsia="Arial" w:hAnsi="Arial"/>
          <w:b/>
          <w:bCs/>
          <w:sz w:val="28"/>
          <w:szCs w:val="28"/>
        </w:rPr>
        <w:t xml:space="preserve">9.2 Smart Furniture and Environmental Sensors</w:t>
      </w:r>
    </w:p>
    <w:p>
      <w:pPr>
        <w:pStyle w:val="ListParagraph"/>
        <w:numPr>
          <w:ilvl w:val="0"/>
          <w:numId w:val="2"/>
        </w:numPr>
        <w:spacing w:after="80"/>
      </w:pPr>
      <w:r>
        <w:rPr>
          <w:rFonts w:ascii="Arial" w:cs="Arial" w:eastAsia="Arial" w:hAnsi="Arial"/>
          <w:sz w:val="24"/>
          <w:szCs w:val="24"/>
        </w:rPr>
        <w:t xml:space="preserve">Pressure-sensitive mattress and chair sensors for sleep duration, sleep restlessness, time-in-bed, time-seated, and postural change frequency as behavioral and physiological metrics.</w:t>
      </w:r>
    </w:p>
    <w:p>
      <w:pPr>
        <w:pStyle w:val="ListParagraph"/>
        <w:numPr>
          <w:ilvl w:val="0"/>
          <w:numId w:val="2"/>
        </w:numPr>
        <w:spacing w:after="80"/>
      </w:pPr>
      <w:r>
        <w:rPr>
          <w:rFonts w:ascii="Arial" w:cs="Arial" w:eastAsia="Arial" w:hAnsi="Arial"/>
          <w:sz w:val="24"/>
          <w:szCs w:val="24"/>
        </w:rPr>
        <w:t xml:space="preserve">Smart lighting systems with daylight spectrum simulation as both an intervention (light therapy) and a monitoring platform — user-initiated dimming and color temperature changes correlated with mood state.</w:t>
      </w:r>
    </w:p>
    <w:p>
      <w:pPr>
        <w:pStyle w:val="ListParagraph"/>
        <w:numPr>
          <w:ilvl w:val="0"/>
          <w:numId w:val="2"/>
        </w:numPr>
        <w:spacing w:after="80"/>
      </w:pPr>
      <w:r>
        <w:rPr>
          <w:rFonts w:ascii="Arial" w:cs="Arial" w:eastAsia="Arial" w:hAnsi="Arial"/>
          <w:sz w:val="24"/>
          <w:szCs w:val="24"/>
        </w:rPr>
        <w:t xml:space="preserve">Carbon monoxide and smoke detector acoustic activity as safety event markers with potential mental health crisis correlation.</w:t>
      </w:r>
    </w:p>
    <w:p>
      <w:pPr>
        <w:pStyle w:val="ListParagraph"/>
        <w:numPr>
          <w:ilvl w:val="0"/>
          <w:numId w:val="2"/>
        </w:numPr>
        <w:spacing w:after="80"/>
      </w:pPr>
      <w:r>
        <w:rPr>
          <w:rFonts w:ascii="Arial" w:cs="Arial" w:eastAsia="Arial" w:hAnsi="Arial"/>
          <w:sz w:val="24"/>
          <w:szCs w:val="24"/>
        </w:rPr>
        <w:t xml:space="preserve">Water leak sensors and flood detectors as functional independence monitoring in cognitively impaired populations.</w:t>
      </w:r>
    </w:p>
    <w:p>
      <w:pPr>
        <w:pStyle w:val="ListParagraph"/>
        <w:numPr>
          <w:ilvl w:val="0"/>
          <w:numId w:val="2"/>
        </w:numPr>
        <w:spacing w:after="80"/>
      </w:pPr>
      <w:r>
        <w:rPr>
          <w:rFonts w:ascii="Arial" w:cs="Arial" w:eastAsia="Arial" w:hAnsi="Arial"/>
          <w:sz w:val="24"/>
          <w:szCs w:val="24"/>
        </w:rPr>
        <w:t xml:space="preserve">Smart electrical outlets and power strips with usage monitoring for appliance-level behavioral inference.</w:t>
      </w:r>
    </w:p>
    <w:p>
      <w:pPr>
        <w:spacing w:after="120"/>
      </w:pPr>
      <w:r>
        <w:t xml:space="preserve"/>
      </w:r>
    </w:p>
    <w:p>
      <w:pPr>
        <w:pStyle w:val="Heading1"/>
      </w:pPr>
      <w:r>
        <w:rPr>
          <w:rFonts w:ascii="Arial" w:cs="Arial" w:eastAsia="Arial" w:hAnsi="Arial"/>
          <w:b/>
          <w:bCs/>
          <w:sz w:val="32"/>
          <w:szCs w:val="32"/>
        </w:rPr>
        <w:t xml:space="preserve">10. Workplace and Public Space Ambient Sensors</w:t>
      </w:r>
    </w:p>
    <w:p>
      <w:pPr>
        <w:pStyle w:val="Heading2"/>
      </w:pPr>
      <w:r>
        <w:rPr>
          <w:rFonts w:ascii="Arial" w:cs="Arial" w:eastAsia="Arial" w:hAnsi="Arial"/>
          <w:b/>
          <w:bCs/>
          <w:sz w:val="28"/>
          <w:szCs w:val="28"/>
        </w:rPr>
        <w:t xml:space="preserve">10.1 Workplace Technology Behavioral Signals</w:t>
      </w:r>
    </w:p>
    <w:p>
      <w:pPr>
        <w:pStyle w:val="ListParagraph"/>
        <w:numPr>
          <w:ilvl w:val="0"/>
          <w:numId w:val="2"/>
        </w:numPr>
        <w:spacing w:after="80"/>
      </w:pPr>
      <w:r>
        <w:rPr>
          <w:rFonts w:ascii="Arial" w:cs="Arial" w:eastAsia="Arial" w:hAnsi="Arial"/>
          <w:sz w:val="24"/>
          <w:szCs w:val="24"/>
        </w:rPr>
        <w:t xml:space="preserve">Computer keyboard and mouse interaction telemetry including typing speed, error rate, idle time, and mouse movement patterns as cognitive performance and psychomotor metrics without content logging.</w:t>
      </w:r>
    </w:p>
    <w:p>
      <w:pPr>
        <w:pStyle w:val="ListParagraph"/>
        <w:numPr>
          <w:ilvl w:val="0"/>
          <w:numId w:val="2"/>
        </w:numPr>
        <w:spacing w:after="80"/>
      </w:pPr>
      <w:r>
        <w:rPr>
          <w:rFonts w:ascii="Arial" w:cs="Arial" w:eastAsia="Arial" w:hAnsi="Arial"/>
          <w:sz w:val="24"/>
          <w:szCs w:val="24"/>
        </w:rPr>
        <w:t xml:space="preserve">Computer application usage patterns by category and duration as behavioral engagement metrics.</w:t>
      </w:r>
    </w:p>
    <w:p>
      <w:pPr>
        <w:pStyle w:val="ListParagraph"/>
        <w:numPr>
          <w:ilvl w:val="0"/>
          <w:numId w:val="2"/>
        </w:numPr>
        <w:spacing w:after="80"/>
      </w:pPr>
      <w:r>
        <w:rPr>
          <w:rFonts w:ascii="Arial" w:cs="Arial" w:eastAsia="Arial" w:hAnsi="Arial"/>
          <w:sz w:val="24"/>
          <w:szCs w:val="24"/>
        </w:rPr>
        <w:t xml:space="preserve">Email metadata including send frequency, response latency, email length distribution, and time-of-day patterns as communication behavior and cognitive workload metrics.</w:t>
      </w:r>
    </w:p>
    <w:p>
      <w:pPr>
        <w:pStyle w:val="ListParagraph"/>
        <w:numPr>
          <w:ilvl w:val="0"/>
          <w:numId w:val="2"/>
        </w:numPr>
        <w:spacing w:after="80"/>
      </w:pPr>
      <w:r>
        <w:rPr>
          <w:rFonts w:ascii="Arial" w:cs="Arial" w:eastAsia="Arial" w:hAnsi="Arial"/>
          <w:sz w:val="24"/>
          <w:szCs w:val="24"/>
        </w:rPr>
        <w:t xml:space="preserve">Calendar utilization patterns including meeting acceptance rates, last-minute cancellations, and scheduling behavior changes as social engagement and executive function metrics.</w:t>
      </w:r>
    </w:p>
    <w:p>
      <w:pPr>
        <w:pStyle w:val="ListParagraph"/>
        <w:numPr>
          <w:ilvl w:val="0"/>
          <w:numId w:val="2"/>
        </w:numPr>
        <w:spacing w:after="80"/>
      </w:pPr>
      <w:r>
        <w:rPr>
          <w:rFonts w:ascii="Arial" w:cs="Arial" w:eastAsia="Arial" w:hAnsi="Arial"/>
          <w:sz w:val="24"/>
          <w:szCs w:val="24"/>
        </w:rPr>
        <w:t xml:space="preserve">Collaboration platform activity (Slack, Teams, Zoom) metadata including message frequency, response latency, meeting attendance, and camera-on behavior as social engagement metrics.</w:t>
      </w:r>
    </w:p>
    <w:p>
      <w:pPr>
        <w:pStyle w:val="ListParagraph"/>
        <w:numPr>
          <w:ilvl w:val="0"/>
          <w:numId w:val="2"/>
        </w:numPr>
        <w:spacing w:after="80"/>
      </w:pPr>
      <w:r>
        <w:rPr>
          <w:rFonts w:ascii="Arial" w:cs="Arial" w:eastAsia="Arial" w:hAnsi="Arial"/>
          <w:sz w:val="24"/>
          <w:szCs w:val="24"/>
        </w:rPr>
        <w:t xml:space="preserve">Workplace access control logs including arrival time, departure time, and after-hours presence as routine regularity metrics.</w:t>
      </w:r>
    </w:p>
    <w:p>
      <w:pPr>
        <w:pStyle w:val="ListParagraph"/>
        <w:numPr>
          <w:ilvl w:val="0"/>
          <w:numId w:val="2"/>
        </w:numPr>
        <w:spacing w:after="80"/>
      </w:pPr>
      <w:r>
        <w:rPr>
          <w:rFonts w:ascii="Arial" w:cs="Arial" w:eastAsia="Arial" w:hAnsi="Arial"/>
          <w:sz w:val="24"/>
          <w:szCs w:val="24"/>
        </w:rPr>
        <w:t xml:space="preserve">Printer and photocopier usage as workplace activity metrics.</w:t>
      </w:r>
    </w:p>
    <w:p>
      <w:pPr>
        <w:spacing w:after="120"/>
      </w:pPr>
      <w:r>
        <w:t xml:space="preserve"/>
      </w:r>
    </w:p>
    <w:p>
      <w:pPr>
        <w:pStyle w:val="Heading2"/>
      </w:pPr>
      <w:r>
        <w:rPr>
          <w:rFonts w:ascii="Arial" w:cs="Arial" w:eastAsia="Arial" w:hAnsi="Arial"/>
          <w:b/>
          <w:bCs/>
          <w:sz w:val="28"/>
          <w:szCs w:val="28"/>
        </w:rPr>
        <w:t xml:space="preserve">10.2 Vehicle Telematics</w:t>
      </w:r>
    </w:p>
    <w:p>
      <w:pPr>
        <w:pStyle w:val="ListParagraph"/>
        <w:numPr>
          <w:ilvl w:val="0"/>
          <w:numId w:val="2"/>
        </w:numPr>
        <w:spacing w:after="80"/>
      </w:pPr>
      <w:r>
        <w:rPr>
          <w:rFonts w:ascii="Arial" w:cs="Arial" w:eastAsia="Arial" w:hAnsi="Arial"/>
          <w:sz w:val="24"/>
          <w:szCs w:val="24"/>
        </w:rPr>
        <w:t xml:space="preserve">Connected vehicle data including trip frequency, driving hours, route diversity, time-of-day, and speed profile as mobility and behavioral activation metrics.</w:t>
      </w:r>
    </w:p>
    <w:p>
      <w:pPr>
        <w:pStyle w:val="ListParagraph"/>
        <w:numPr>
          <w:ilvl w:val="0"/>
          <w:numId w:val="2"/>
        </w:numPr>
        <w:spacing w:after="80"/>
      </w:pPr>
      <w:r>
        <w:rPr>
          <w:rFonts w:ascii="Arial" w:cs="Arial" w:eastAsia="Arial" w:hAnsi="Arial"/>
          <w:sz w:val="24"/>
          <w:szCs w:val="24"/>
        </w:rPr>
        <w:t xml:space="preserve">Driving behavior patterns including harsh braking, rapid acceleration, lane departure frequency, and following distance as cognitive and attention metrics — degraded driving behavior as a cognitive decline marker.</w:t>
      </w:r>
    </w:p>
    <w:p>
      <w:pPr>
        <w:pStyle w:val="ListParagraph"/>
        <w:numPr>
          <w:ilvl w:val="0"/>
          <w:numId w:val="2"/>
        </w:numPr>
        <w:spacing w:after="80"/>
      </w:pPr>
      <w:r>
        <w:rPr>
          <w:rFonts w:ascii="Arial" w:cs="Arial" w:eastAsia="Arial" w:hAnsi="Arial"/>
          <w:sz w:val="24"/>
          <w:szCs w:val="24"/>
        </w:rPr>
        <w:t xml:space="preserve">Destination diversity and novel versus routine destination ratio as cognitive engagement and social activity metrics.</w:t>
      </w:r>
    </w:p>
    <w:p>
      <w:pPr>
        <w:pStyle w:val="ListParagraph"/>
        <w:numPr>
          <w:ilvl w:val="0"/>
          <w:numId w:val="2"/>
        </w:numPr>
        <w:spacing w:after="80"/>
      </w:pPr>
      <w:r>
        <w:rPr>
          <w:rFonts w:ascii="Arial" w:cs="Arial" w:eastAsia="Arial" w:hAnsi="Arial"/>
          <w:sz w:val="24"/>
          <w:szCs w:val="24"/>
        </w:rPr>
        <w:t xml:space="preserve">Distracted driving indicators including phone interaction while driving as impulse control metrics.</w:t>
      </w:r>
    </w:p>
    <w:p>
      <w:pPr>
        <w:pStyle w:val="ListParagraph"/>
        <w:numPr>
          <w:ilvl w:val="0"/>
          <w:numId w:val="2"/>
        </w:numPr>
        <w:spacing w:after="80"/>
      </w:pPr>
      <w:r>
        <w:rPr>
          <w:rFonts w:ascii="Arial" w:cs="Arial" w:eastAsia="Arial" w:hAnsi="Arial"/>
          <w:sz w:val="24"/>
          <w:szCs w:val="24"/>
        </w:rPr>
        <w:t xml:space="preserve">Vehicle idle time at home as an activity level proxy.</w:t>
      </w:r>
    </w:p>
    <w:p>
      <w:pPr>
        <w:spacing w:after="120"/>
      </w:pPr>
      <w:r>
        <w:t xml:space="preserve"/>
      </w:r>
    </w:p>
    <w:p>
      <w:pPr>
        <w:pStyle w:val="Heading1"/>
      </w:pPr>
      <w:r>
        <w:rPr>
          <w:rFonts w:ascii="Arial" w:cs="Arial" w:eastAsia="Arial" w:hAnsi="Arial"/>
          <w:b/>
          <w:bCs/>
          <w:sz w:val="32"/>
          <w:szCs w:val="32"/>
        </w:rPr>
        <w:t xml:space="preserve">11. AI and Inference Architectures for Ambient Sensor Fusion</w:t>
      </w:r>
    </w:p>
    <w:p>
      <w:pPr>
        <w:pStyle w:val="Heading2"/>
      </w:pPr>
      <w:r>
        <w:rPr>
          <w:rFonts w:ascii="Arial" w:cs="Arial" w:eastAsia="Arial" w:hAnsi="Arial"/>
          <w:b/>
          <w:bCs/>
          <w:sz w:val="28"/>
          <w:szCs w:val="28"/>
        </w:rPr>
        <w:t xml:space="preserve">11.1 Multi-Device Temporal Fusion</w:t>
      </w:r>
    </w:p>
    <w:p>
      <w:pPr>
        <w:pStyle w:val="ListParagraph"/>
        <w:numPr>
          <w:ilvl w:val="0"/>
          <w:numId w:val="2"/>
        </w:numPr>
        <w:spacing w:after="80"/>
      </w:pPr>
      <w:r>
        <w:rPr>
          <w:rFonts w:ascii="Arial" w:cs="Arial" w:eastAsia="Arial" w:hAnsi="Arial"/>
          <w:sz w:val="24"/>
          <w:szCs w:val="24"/>
        </w:rPr>
        <w:t xml:space="preserve">Temporal alignment and fusion of heterogeneous data streams from all device types described above into a unified behavioral timeline for each individual or household.</w:t>
      </w:r>
    </w:p>
    <w:p>
      <w:pPr>
        <w:pStyle w:val="ListParagraph"/>
        <w:numPr>
          <w:ilvl w:val="0"/>
          <w:numId w:val="2"/>
        </w:numPr>
        <w:spacing w:after="80"/>
      </w:pPr>
      <w:r>
        <w:rPr>
          <w:rFonts w:ascii="Arial" w:cs="Arial" w:eastAsia="Arial" w:hAnsi="Arial"/>
          <w:sz w:val="24"/>
          <w:szCs w:val="24"/>
        </w:rPr>
        <w:t xml:space="preserve">Hierarchical aggregation models operating at second-level, minute-level, hour-level, day-level, and week-level temporal granularities to capture both acute events and chronic trajectory changes.</w:t>
      </w:r>
    </w:p>
    <w:p>
      <w:pPr>
        <w:pStyle w:val="ListParagraph"/>
        <w:numPr>
          <w:ilvl w:val="0"/>
          <w:numId w:val="2"/>
        </w:numPr>
        <w:spacing w:after="80"/>
      </w:pPr>
      <w:r>
        <w:rPr>
          <w:rFonts w:ascii="Arial" w:cs="Arial" w:eastAsia="Arial" w:hAnsi="Arial"/>
          <w:sz w:val="24"/>
          <w:szCs w:val="24"/>
        </w:rPr>
        <w:t xml:space="preserve">Event-driven architecture where state changes detected by any device trigger cross-device context enrichment queries.</w:t>
      </w:r>
    </w:p>
    <w:p>
      <w:pPr>
        <w:pStyle w:val="ListParagraph"/>
        <w:numPr>
          <w:ilvl w:val="0"/>
          <w:numId w:val="2"/>
        </w:numPr>
        <w:spacing w:after="80"/>
      </w:pPr>
      <w:r>
        <w:rPr>
          <w:rFonts w:ascii="Arial" w:cs="Arial" w:eastAsia="Arial" w:hAnsi="Arial"/>
          <w:sz w:val="24"/>
          <w:szCs w:val="24"/>
        </w:rPr>
        <w:t xml:space="preserve">Graph-structured representations of household device interactions where nodes are devices and edges represent temporal co-activation patterns, enabling detection of unusual device interaction sequences.</w:t>
      </w:r>
    </w:p>
    <w:p>
      <w:pPr>
        <w:spacing w:after="120"/>
      </w:pPr>
      <w:r>
        <w:t xml:space="preserve"/>
      </w:r>
    </w:p>
    <w:p>
      <w:pPr>
        <w:pStyle w:val="Heading2"/>
      </w:pPr>
      <w:r>
        <w:rPr>
          <w:rFonts w:ascii="Arial" w:cs="Arial" w:eastAsia="Arial" w:hAnsi="Arial"/>
          <w:b/>
          <w:bCs/>
          <w:sz w:val="28"/>
          <w:szCs w:val="28"/>
        </w:rPr>
        <w:t xml:space="preserve">11.2 Anomaly Detection Approaches for Device Behavior</w:t>
      </w:r>
    </w:p>
    <w:p>
      <w:pPr>
        <w:pStyle w:val="ListParagraph"/>
        <w:numPr>
          <w:ilvl w:val="0"/>
          <w:numId w:val="2"/>
        </w:numPr>
        <w:spacing w:after="80"/>
      </w:pPr>
      <w:r>
        <w:rPr>
          <w:rFonts w:ascii="Arial" w:cs="Arial" w:eastAsia="Arial" w:hAnsi="Arial"/>
          <w:sz w:val="24"/>
          <w:szCs w:val="24"/>
        </w:rPr>
        <w:t xml:space="preserve">Per-device operational baseline modeling where each device's normal operational signature — usage frequency, response latency, settings stability, error rate — is modeled for an individual user and deviations flagged as potential mental health indicators.</w:t>
      </w:r>
    </w:p>
    <w:p>
      <w:pPr>
        <w:pStyle w:val="ListParagraph"/>
        <w:numPr>
          <w:ilvl w:val="0"/>
          <w:numId w:val="2"/>
        </w:numPr>
        <w:spacing w:after="80"/>
      </w:pPr>
      <w:r>
        <w:rPr>
          <w:rFonts w:ascii="Arial" w:cs="Arial" w:eastAsia="Arial" w:hAnsi="Arial"/>
          <w:sz w:val="24"/>
          <w:szCs w:val="24"/>
        </w:rPr>
        <w:t xml:space="preserve">Cross-device behavioral consistency checking — detecting when behavioral patterns inferred from one device are inconsistent with patterns inferred from another device serving as independent evidence.</w:t>
      </w:r>
    </w:p>
    <w:p>
      <w:pPr>
        <w:pStyle w:val="ListParagraph"/>
        <w:numPr>
          <w:ilvl w:val="0"/>
          <w:numId w:val="2"/>
        </w:numPr>
        <w:spacing w:after="80"/>
      </w:pPr>
      <w:r>
        <w:rPr>
          <w:rFonts w:ascii="Arial" w:cs="Arial" w:eastAsia="Arial" w:hAnsi="Arial"/>
          <w:sz w:val="24"/>
          <w:szCs w:val="24"/>
        </w:rPr>
        <w:t xml:space="preserve">Unsupervised anomaly detection on device telemetry streams using autoencoders, isolation forests, one-class SVMs, and density estimation methods without requiring labeled mental health event data.</w:t>
      </w:r>
    </w:p>
    <w:p>
      <w:pPr>
        <w:pStyle w:val="ListParagraph"/>
        <w:numPr>
          <w:ilvl w:val="0"/>
          <w:numId w:val="2"/>
        </w:numPr>
        <w:spacing w:after="80"/>
      </w:pPr>
      <w:r>
        <w:rPr>
          <w:rFonts w:ascii="Arial" w:cs="Arial" w:eastAsia="Arial" w:hAnsi="Arial"/>
          <w:sz w:val="24"/>
          <w:szCs w:val="24"/>
        </w:rPr>
        <w:t xml:space="preserve">Sudden change point detection in longitudinal device usage time series using Bayesian change point detection, CUSUM, and Page-Hinkley test methods.</w:t>
      </w:r>
    </w:p>
    <w:p>
      <w:pPr>
        <w:pStyle w:val="ListParagraph"/>
        <w:numPr>
          <w:ilvl w:val="0"/>
          <w:numId w:val="2"/>
        </w:numPr>
        <w:spacing w:after="80"/>
      </w:pPr>
      <w:r>
        <w:rPr>
          <w:rFonts w:ascii="Arial" w:cs="Arial" w:eastAsia="Arial" w:hAnsi="Arial"/>
          <w:sz w:val="24"/>
          <w:szCs w:val="24"/>
        </w:rPr>
        <w:t xml:space="preserve">Drift detection for gradual behavioral changes using population comparison, personal historical comparison, and slope-based trend analysis.</w:t>
      </w:r>
    </w:p>
    <w:p>
      <w:pPr>
        <w:spacing w:after="120"/>
      </w:pPr>
      <w:r>
        <w:t xml:space="preserve"/>
      </w:r>
    </w:p>
    <w:p>
      <w:pPr>
        <w:pStyle w:val="Heading2"/>
      </w:pPr>
      <w:r>
        <w:rPr>
          <w:rFonts w:ascii="Arial" w:cs="Arial" w:eastAsia="Arial" w:hAnsi="Arial"/>
          <w:b/>
          <w:bCs/>
          <w:sz w:val="28"/>
          <w:szCs w:val="28"/>
        </w:rPr>
        <w:t xml:space="preserve">11.3 Device Response Latency and Error Rate as Biomarkers</w:t>
      </w:r>
    </w:p>
    <w:p>
      <w:pPr>
        <w:spacing w:after="160"/>
      </w:pPr>
      <w:r>
        <w:rPr>
          <w:rFonts w:ascii="Arial" w:cs="Arial" w:eastAsia="Arial" w:hAnsi="Arial"/>
          <w:sz w:val="24"/>
          <w:szCs w:val="24"/>
        </w:rPr>
        <w:t xml:space="preserve">A key novel contribution of this disclosure is the concept of using the characteristics of a user's interaction with devices — beyond what they do — as a cognitive biomarker:</w:t>
      </w:r>
    </w:p>
    <w:p>
      <w:pPr>
        <w:pStyle w:val="ListParagraph"/>
        <w:numPr>
          <w:ilvl w:val="0"/>
          <w:numId w:val="2"/>
        </w:numPr>
        <w:spacing w:after="80"/>
      </w:pPr>
      <w:r>
        <w:rPr>
          <w:rFonts w:ascii="Arial" w:cs="Arial" w:eastAsia="Arial" w:hAnsi="Arial"/>
          <w:sz w:val="24"/>
          <w:szCs w:val="24"/>
        </w:rPr>
        <w:t xml:space="preserve">Voice command processing latency from wake word to user speech onset as a reaction time and decision-making speed metric.</w:t>
      </w:r>
    </w:p>
    <w:p>
      <w:pPr>
        <w:pStyle w:val="ListParagraph"/>
        <w:numPr>
          <w:ilvl w:val="0"/>
          <w:numId w:val="2"/>
        </w:numPr>
        <w:spacing w:after="80"/>
      </w:pPr>
      <w:r>
        <w:rPr>
          <w:rFonts w:ascii="Arial" w:cs="Arial" w:eastAsia="Arial" w:hAnsi="Arial"/>
          <w:sz w:val="24"/>
          <w:szCs w:val="24"/>
        </w:rPr>
        <w:t xml:space="preserve">Time-to-first-interaction after device wake or unlock as a cognitive arousal metric.</w:t>
      </w:r>
    </w:p>
    <w:p>
      <w:pPr>
        <w:pStyle w:val="ListParagraph"/>
        <w:numPr>
          <w:ilvl w:val="0"/>
          <w:numId w:val="2"/>
        </w:numPr>
        <w:spacing w:after="80"/>
      </w:pPr>
      <w:r>
        <w:rPr>
          <w:rFonts w:ascii="Arial" w:cs="Arial" w:eastAsia="Arial" w:hAnsi="Arial"/>
          <w:sz w:val="24"/>
          <w:szCs w:val="24"/>
        </w:rPr>
        <w:t xml:space="preserve">Error correction frequency and recovery pattern in text and voice interfaces as cognitive load and processing efficiency metrics.</w:t>
      </w:r>
    </w:p>
    <w:p>
      <w:pPr>
        <w:pStyle w:val="ListParagraph"/>
        <w:numPr>
          <w:ilvl w:val="0"/>
          <w:numId w:val="2"/>
        </w:numPr>
        <w:spacing w:after="80"/>
      </w:pPr>
      <w:r>
        <w:rPr>
          <w:rFonts w:ascii="Arial" w:cs="Arial" w:eastAsia="Arial" w:hAnsi="Arial"/>
          <w:sz w:val="24"/>
          <w:szCs w:val="24"/>
        </w:rPr>
        <w:t xml:space="preserve">Navigation efficiency in menu-driven interfaces — number of steps to reach target content relative to optimal — as executive function and working memory metrics.</w:t>
      </w:r>
    </w:p>
    <w:p>
      <w:pPr>
        <w:pStyle w:val="ListParagraph"/>
        <w:numPr>
          <w:ilvl w:val="0"/>
          <w:numId w:val="2"/>
        </w:numPr>
        <w:spacing w:after="80"/>
      </w:pPr>
      <w:r>
        <w:rPr>
          <w:rFonts w:ascii="Arial" w:cs="Arial" w:eastAsia="Arial" w:hAnsi="Arial"/>
          <w:sz w:val="24"/>
          <w:szCs w:val="24"/>
        </w:rPr>
        <w:t xml:space="preserve">Repetition of recently performed actions (asking the same question twice, revisiting same menu path) as short-term memory metrics relevant to dementia detection.</w:t>
      </w:r>
    </w:p>
    <w:p>
      <w:pPr>
        <w:pStyle w:val="ListParagraph"/>
        <w:numPr>
          <w:ilvl w:val="0"/>
          <w:numId w:val="2"/>
        </w:numPr>
        <w:spacing w:after="80"/>
      </w:pPr>
      <w:r>
        <w:rPr>
          <w:rFonts w:ascii="Arial" w:cs="Arial" w:eastAsia="Arial" w:hAnsi="Arial"/>
          <w:sz w:val="24"/>
          <w:szCs w:val="24"/>
        </w:rPr>
        <w:t xml:space="preserve">Settings instability — making the same setting change repeatedly or reverting changes immediately — as a decision-making and executive function metric.</w:t>
      </w:r>
    </w:p>
    <w:p>
      <w:pPr>
        <w:pStyle w:val="ListParagraph"/>
        <w:numPr>
          <w:ilvl w:val="0"/>
          <w:numId w:val="2"/>
        </w:numPr>
        <w:spacing w:after="80"/>
      </w:pPr>
      <w:r>
        <w:rPr>
          <w:rFonts w:ascii="Arial" w:cs="Arial" w:eastAsia="Arial" w:hAnsi="Arial"/>
          <w:sz w:val="24"/>
          <w:szCs w:val="24"/>
        </w:rPr>
        <w:t xml:space="preserve">Device handoff patterns — switching between phone, tablet, TV, and smart speaker for the same task — as a task persistence and attention metric.</w:t>
      </w:r>
    </w:p>
    <w:p>
      <w:pPr>
        <w:spacing w:after="120"/>
      </w:pPr>
      <w:r>
        <w:t xml:space="preserve"/>
      </w:r>
    </w:p>
    <w:p>
      <w:pPr>
        <w:pStyle w:val="Heading2"/>
      </w:pPr>
      <w:r>
        <w:rPr>
          <w:rFonts w:ascii="Arial" w:cs="Arial" w:eastAsia="Arial" w:hAnsi="Arial"/>
          <w:b/>
          <w:bCs/>
          <w:sz w:val="28"/>
          <w:szCs w:val="28"/>
        </w:rPr>
        <w:t xml:space="preserve">11.4 Privacy-Preserving Inference Architectures</w:t>
      </w:r>
    </w:p>
    <w:p>
      <w:pPr>
        <w:pStyle w:val="ListParagraph"/>
        <w:numPr>
          <w:ilvl w:val="0"/>
          <w:numId w:val="2"/>
        </w:numPr>
        <w:spacing w:after="80"/>
      </w:pPr>
      <w:r>
        <w:rPr>
          <w:rFonts w:ascii="Arial" w:cs="Arial" w:eastAsia="Arial" w:hAnsi="Arial"/>
          <w:sz w:val="24"/>
          <w:szCs w:val="24"/>
        </w:rPr>
        <w:t xml:space="preserve">On-device feature extraction for all audio and video data with transmission only of derived non-reconstructible features, ensuring raw content never leaves the device.</w:t>
      </w:r>
    </w:p>
    <w:p>
      <w:pPr>
        <w:pStyle w:val="ListParagraph"/>
        <w:numPr>
          <w:ilvl w:val="0"/>
          <w:numId w:val="2"/>
        </w:numPr>
        <w:spacing w:after="80"/>
      </w:pPr>
      <w:r>
        <w:rPr>
          <w:rFonts w:ascii="Arial" w:cs="Arial" w:eastAsia="Arial" w:hAnsi="Arial"/>
          <w:sz w:val="24"/>
          <w:szCs w:val="24"/>
        </w:rPr>
        <w:t xml:space="preserve">Federated learning across households where only model gradient updates are shared, enabling population-level model improvement without centralizing sensitive behavioral data.</w:t>
      </w:r>
    </w:p>
    <w:p>
      <w:pPr>
        <w:pStyle w:val="ListParagraph"/>
        <w:numPr>
          <w:ilvl w:val="0"/>
          <w:numId w:val="2"/>
        </w:numPr>
        <w:spacing w:after="80"/>
      </w:pPr>
      <w:r>
        <w:rPr>
          <w:rFonts w:ascii="Arial" w:cs="Arial" w:eastAsia="Arial" w:hAnsi="Arial"/>
          <w:sz w:val="24"/>
          <w:szCs w:val="24"/>
        </w:rPr>
        <w:t xml:space="preserve">Differential privacy applied to all transmitted telemetry with formal epsilon-delta privacy guarantees.</w:t>
      </w:r>
    </w:p>
    <w:p>
      <w:pPr>
        <w:pStyle w:val="ListParagraph"/>
        <w:numPr>
          <w:ilvl w:val="0"/>
          <w:numId w:val="2"/>
        </w:numPr>
        <w:spacing w:after="80"/>
      </w:pPr>
      <w:r>
        <w:rPr>
          <w:rFonts w:ascii="Arial" w:cs="Arial" w:eastAsia="Arial" w:hAnsi="Arial"/>
          <w:sz w:val="24"/>
          <w:szCs w:val="24"/>
        </w:rPr>
        <w:t xml:space="preserve">Secure aggregation protocols enabling household-level or population-level statistics to be computed without any individual's data being exposed to the aggregating server.</w:t>
      </w:r>
    </w:p>
    <w:p>
      <w:pPr>
        <w:pStyle w:val="ListParagraph"/>
        <w:numPr>
          <w:ilvl w:val="0"/>
          <w:numId w:val="2"/>
        </w:numPr>
        <w:spacing w:after="80"/>
      </w:pPr>
      <w:r>
        <w:rPr>
          <w:rFonts w:ascii="Arial" w:cs="Arial" w:eastAsia="Arial" w:hAnsi="Arial"/>
          <w:sz w:val="24"/>
          <w:szCs w:val="24"/>
        </w:rPr>
        <w:t xml:space="preserve">Homomorphic encryption for inference on encrypted telemetry streams where cloud-side computation is required.</w:t>
      </w:r>
    </w:p>
    <w:p>
      <w:pPr>
        <w:pStyle w:val="ListParagraph"/>
        <w:numPr>
          <w:ilvl w:val="0"/>
          <w:numId w:val="2"/>
        </w:numPr>
        <w:spacing w:after="80"/>
      </w:pPr>
      <w:r>
        <w:rPr>
          <w:rFonts w:ascii="Arial" w:cs="Arial" w:eastAsia="Arial" w:hAnsi="Arial"/>
          <w:sz w:val="24"/>
          <w:szCs w:val="24"/>
        </w:rPr>
        <w:t xml:space="preserve">Data minimization architectures where only statistically sufficient summary features are retained after initial feature extraction, with raw data destroyed.</w:t>
      </w:r>
    </w:p>
    <w:p>
      <w:pPr>
        <w:pStyle w:val="ListParagraph"/>
        <w:numPr>
          <w:ilvl w:val="0"/>
          <w:numId w:val="2"/>
        </w:numPr>
        <w:spacing w:after="80"/>
      </w:pPr>
      <w:r>
        <w:rPr>
          <w:rFonts w:ascii="Arial" w:cs="Arial" w:eastAsia="Arial" w:hAnsi="Arial"/>
          <w:sz w:val="24"/>
          <w:szCs w:val="24"/>
        </w:rPr>
        <w:t xml:space="preserve">Consent-layered data architectures enabling individuals to specify granular permissions for which devices, data types, and inference purposes are authorized.</w:t>
      </w:r>
    </w:p>
    <w:p>
      <w:pPr>
        <w:spacing w:after="120"/>
      </w:pPr>
      <w:r>
        <w:t xml:space="preserve"/>
      </w:r>
    </w:p>
    <w:p>
      <w:pPr>
        <w:pStyle w:val="Heading1"/>
      </w:pPr>
      <w:r>
        <w:rPr>
          <w:rFonts w:ascii="Arial" w:cs="Arial" w:eastAsia="Arial" w:hAnsi="Arial"/>
          <w:b/>
          <w:bCs/>
          <w:sz w:val="32"/>
          <w:szCs w:val="32"/>
        </w:rPr>
        <w:t xml:space="preserve">12. Clinical and Caregiver Integration</w:t>
      </w:r>
    </w:p>
    <w:p>
      <w:pPr>
        <w:pStyle w:val="Heading2"/>
      </w:pPr>
      <w:r>
        <w:rPr>
          <w:rFonts w:ascii="Arial" w:cs="Arial" w:eastAsia="Arial" w:hAnsi="Arial"/>
          <w:b/>
          <w:bCs/>
          <w:sz w:val="28"/>
          <w:szCs w:val="28"/>
        </w:rPr>
        <w:t xml:space="preserve">12.1 Alert Generation from Ambient Sensor Networks</w:t>
      </w:r>
    </w:p>
    <w:p>
      <w:pPr>
        <w:pStyle w:val="ListParagraph"/>
        <w:numPr>
          <w:ilvl w:val="0"/>
          <w:numId w:val="2"/>
        </w:numPr>
        <w:spacing w:after="80"/>
      </w:pPr>
      <w:r>
        <w:rPr>
          <w:rFonts w:ascii="Arial" w:cs="Arial" w:eastAsia="Arial" w:hAnsi="Arial"/>
          <w:sz w:val="24"/>
          <w:szCs w:val="24"/>
        </w:rPr>
        <w:t xml:space="preserve">Multi-device corroborating alert systems where alerts require behavioral anomaly detection across two or more independent device types before escalation, reducing false positive rate.</w:t>
      </w:r>
    </w:p>
    <w:p>
      <w:pPr>
        <w:pStyle w:val="ListParagraph"/>
        <w:numPr>
          <w:ilvl w:val="0"/>
          <w:numId w:val="2"/>
        </w:numPr>
        <w:spacing w:after="80"/>
      </w:pPr>
      <w:r>
        <w:rPr>
          <w:rFonts w:ascii="Arial" w:cs="Arial" w:eastAsia="Arial" w:hAnsi="Arial"/>
          <w:sz w:val="24"/>
          <w:szCs w:val="24"/>
        </w:rPr>
        <w:t xml:space="preserve">Caregiver dashboards presenting interpretable behavioral summaries derived from ambient sensor data for remote monitoring of elderly or psychiatrically vulnerable individuals.</w:t>
      </w:r>
    </w:p>
    <w:p>
      <w:pPr>
        <w:pStyle w:val="ListParagraph"/>
        <w:numPr>
          <w:ilvl w:val="0"/>
          <w:numId w:val="2"/>
        </w:numPr>
        <w:spacing w:after="80"/>
      </w:pPr>
      <w:r>
        <w:rPr>
          <w:rFonts w:ascii="Arial" w:cs="Arial" w:eastAsia="Arial" w:hAnsi="Arial"/>
          <w:sz w:val="24"/>
          <w:szCs w:val="24"/>
        </w:rPr>
        <w:t xml:space="preserve">Clinical portal integration providing longitudinal behavioral trends to treating clinicians in conjunction with wearable data from the companion disclosure.</w:t>
      </w:r>
    </w:p>
    <w:p>
      <w:pPr>
        <w:pStyle w:val="ListParagraph"/>
        <w:numPr>
          <w:ilvl w:val="0"/>
          <w:numId w:val="2"/>
        </w:numPr>
        <w:spacing w:after="80"/>
      </w:pPr>
      <w:r>
        <w:rPr>
          <w:rFonts w:ascii="Arial" w:cs="Arial" w:eastAsia="Arial" w:hAnsi="Arial"/>
          <w:sz w:val="24"/>
          <w:szCs w:val="24"/>
        </w:rPr>
        <w:t xml:space="preserve">Emergency service integration for detection of falls, unresponsiveness, or safety events detected via ambient sensors.</w:t>
      </w:r>
    </w:p>
    <w:p>
      <w:pPr>
        <w:spacing w:after="120"/>
      </w:pPr>
      <w:r>
        <w:t xml:space="preserve"/>
      </w:r>
    </w:p>
    <w:p>
      <w:pPr>
        <w:pStyle w:val="Heading2"/>
      </w:pPr>
      <w:r>
        <w:rPr>
          <w:rFonts w:ascii="Arial" w:cs="Arial" w:eastAsia="Arial" w:hAnsi="Arial"/>
          <w:b/>
          <w:bCs/>
          <w:sz w:val="28"/>
          <w:szCs w:val="28"/>
        </w:rPr>
        <w:t xml:space="preserve">12.2 Specific High-Value Clinical Applications</w:t>
      </w:r>
    </w:p>
    <w:p>
      <w:pPr>
        <w:pStyle w:val="ListParagraph"/>
        <w:numPr>
          <w:ilvl w:val="0"/>
          <w:numId w:val="2"/>
        </w:numPr>
        <w:spacing w:after="80"/>
      </w:pPr>
      <w:r>
        <w:rPr>
          <w:rFonts w:ascii="Arial" w:cs="Arial" w:eastAsia="Arial" w:hAnsi="Arial"/>
          <w:sz w:val="24"/>
          <w:szCs w:val="24"/>
        </w:rPr>
        <w:t xml:space="preserve">Remote dementia monitoring using ambient home sensor networks as a complement or alternative to infrequent clinical assessment, with behavioral indices correlated with validated cognitive assessment instruments.</w:t>
      </w:r>
    </w:p>
    <w:p>
      <w:pPr>
        <w:pStyle w:val="ListParagraph"/>
        <w:numPr>
          <w:ilvl w:val="0"/>
          <w:numId w:val="2"/>
        </w:numPr>
        <w:spacing w:after="80"/>
      </w:pPr>
      <w:r>
        <w:rPr>
          <w:rFonts w:ascii="Arial" w:cs="Arial" w:eastAsia="Arial" w:hAnsi="Arial"/>
          <w:sz w:val="24"/>
          <w:szCs w:val="24"/>
        </w:rPr>
        <w:t xml:space="preserve">Post-hospital discharge monitoring following psychiatric admission using ambient sensor behavioral indices to detect early deterioration and reduce readmission rates.</w:t>
      </w:r>
    </w:p>
    <w:p>
      <w:pPr>
        <w:pStyle w:val="ListParagraph"/>
        <w:numPr>
          <w:ilvl w:val="0"/>
          <w:numId w:val="2"/>
        </w:numPr>
        <w:spacing w:after="80"/>
      </w:pPr>
      <w:r>
        <w:rPr>
          <w:rFonts w:ascii="Arial" w:cs="Arial" w:eastAsia="Arial" w:hAnsi="Arial"/>
          <w:sz w:val="24"/>
          <w:szCs w:val="24"/>
        </w:rPr>
        <w:t xml:space="preserve">Medication titration support using ambient behavioral data to objectively characterize treatment response and side effect burden without relying solely on patient self-report.</w:t>
      </w:r>
    </w:p>
    <w:p>
      <w:pPr>
        <w:pStyle w:val="ListParagraph"/>
        <w:numPr>
          <w:ilvl w:val="0"/>
          <w:numId w:val="2"/>
        </w:numPr>
        <w:spacing w:after="80"/>
      </w:pPr>
      <w:r>
        <w:rPr>
          <w:rFonts w:ascii="Arial" w:cs="Arial" w:eastAsia="Arial" w:hAnsi="Arial"/>
          <w:sz w:val="24"/>
          <w:szCs w:val="24"/>
        </w:rPr>
        <w:t xml:space="preserve">Substance use relapse detection via behavioral signature changes detectable in ambient sensor data prior to or during relapse events.</w:t>
      </w:r>
    </w:p>
    <w:p>
      <w:pPr>
        <w:pStyle w:val="ListParagraph"/>
        <w:numPr>
          <w:ilvl w:val="0"/>
          <w:numId w:val="2"/>
        </w:numPr>
        <w:spacing w:after="80"/>
      </w:pPr>
      <w:r>
        <w:rPr>
          <w:rFonts w:ascii="Arial" w:cs="Arial" w:eastAsia="Arial" w:hAnsi="Arial"/>
          <w:sz w:val="24"/>
          <w:szCs w:val="24"/>
        </w:rPr>
        <w:t xml:space="preserve">Social isolation monitoring in at-risk populations including elderly individuals living alone, individuals with severe mental illness, and adolescents with depression, using device-derived social contact proxies.</w:t>
      </w:r>
    </w:p>
    <w:p>
      <w:pPr>
        <w:spacing w:after="120"/>
      </w:pPr>
      <w:r>
        <w:t xml:space="preserve"/>
      </w:r>
    </w:p>
    <w:p>
      <w:pPr>
        <w:pStyle w:val="Heading1"/>
      </w:pPr>
      <w:r>
        <w:rPr>
          <w:rFonts w:ascii="Arial" w:cs="Arial" w:eastAsia="Arial" w:hAnsi="Arial"/>
          <w:b/>
          <w:bCs/>
          <w:sz w:val="32"/>
          <w:szCs w:val="32"/>
        </w:rPr>
        <w:t xml:space="preserve">13. Ethical Framework and Consent Architecture</w:t>
      </w:r>
    </w:p>
    <w:p>
      <w:pPr>
        <w:pStyle w:val="ListParagraph"/>
        <w:numPr>
          <w:ilvl w:val="0"/>
          <w:numId w:val="2"/>
        </w:numPr>
        <w:spacing w:after="80"/>
      </w:pPr>
      <w:r>
        <w:rPr>
          <w:rFonts w:ascii="Arial" w:cs="Arial" w:eastAsia="Arial" w:hAnsi="Arial"/>
          <w:sz w:val="24"/>
          <w:szCs w:val="24"/>
        </w:rPr>
        <w:t xml:space="preserve">Informed consent paradigms specifically designed for ambient always-on monitoring that differ materially from traditional point-in-time consent, including ongoing consent review, data use audit access, and right to deletion.</w:t>
      </w:r>
    </w:p>
    <w:p>
      <w:pPr>
        <w:pStyle w:val="ListParagraph"/>
        <w:numPr>
          <w:ilvl w:val="0"/>
          <w:numId w:val="2"/>
        </w:numPr>
        <w:spacing w:after="80"/>
      </w:pPr>
      <w:r>
        <w:rPr>
          <w:rFonts w:ascii="Arial" w:cs="Arial" w:eastAsia="Arial" w:hAnsi="Arial"/>
          <w:sz w:val="24"/>
          <w:szCs w:val="24"/>
        </w:rPr>
        <w:t xml:space="preserve">Household consent architectures addressing the multi-occupant environment where ambient sensors capture data from all household members regardless of individual consent status.</w:t>
      </w:r>
    </w:p>
    <w:p>
      <w:pPr>
        <w:pStyle w:val="ListParagraph"/>
        <w:numPr>
          <w:ilvl w:val="0"/>
          <w:numId w:val="2"/>
        </w:numPr>
        <w:spacing w:after="80"/>
      </w:pPr>
      <w:r>
        <w:rPr>
          <w:rFonts w:ascii="Arial" w:cs="Arial" w:eastAsia="Arial" w:hAnsi="Arial"/>
          <w:sz w:val="24"/>
          <w:szCs w:val="24"/>
        </w:rPr>
        <w:t xml:space="preserve">Vulnerability-specific consent processes for populations with impaired decision-making capacity, including supported decision-making frameworks and authorized representative consent.</w:t>
      </w:r>
    </w:p>
    <w:p>
      <w:pPr>
        <w:pStyle w:val="ListParagraph"/>
        <w:numPr>
          <w:ilvl w:val="0"/>
          <w:numId w:val="2"/>
        </w:numPr>
        <w:spacing w:after="80"/>
      </w:pPr>
      <w:r>
        <w:rPr>
          <w:rFonts w:ascii="Arial" w:cs="Arial" w:eastAsia="Arial" w:hAnsi="Arial"/>
          <w:sz w:val="24"/>
          <w:szCs w:val="24"/>
        </w:rPr>
        <w:t xml:space="preserve">Transparency mechanisms providing individuals with interpretable summaries of what inferences have been made from their device data.</w:t>
      </w:r>
    </w:p>
    <w:p>
      <w:pPr>
        <w:pStyle w:val="ListParagraph"/>
        <w:numPr>
          <w:ilvl w:val="0"/>
          <w:numId w:val="2"/>
        </w:numPr>
        <w:spacing w:after="80"/>
      </w:pPr>
      <w:r>
        <w:rPr>
          <w:rFonts w:ascii="Arial" w:cs="Arial" w:eastAsia="Arial" w:hAnsi="Arial"/>
          <w:sz w:val="24"/>
          <w:szCs w:val="24"/>
        </w:rPr>
        <w:t xml:space="preserve">Opt-out mechanisms that disable monitoring inference without disabling device functionality.</w:t>
      </w:r>
    </w:p>
    <w:p>
      <w:pPr>
        <w:pStyle w:val="ListParagraph"/>
        <w:numPr>
          <w:ilvl w:val="0"/>
          <w:numId w:val="2"/>
        </w:numPr>
        <w:spacing w:after="80"/>
      </w:pPr>
      <w:r>
        <w:rPr>
          <w:rFonts w:ascii="Arial" w:cs="Arial" w:eastAsia="Arial" w:hAnsi="Arial"/>
          <w:sz w:val="24"/>
          <w:szCs w:val="24"/>
        </w:rPr>
        <w:t xml:space="preserve">Equity considerations in ambient monitoring systems including differential performance across household types, socioeconomic contexts, and cultural contexts where device ownership patterns differ.</w:t>
      </w:r>
    </w:p>
    <w:p>
      <w:pPr>
        <w:pStyle w:val="ListParagraph"/>
        <w:numPr>
          <w:ilvl w:val="0"/>
          <w:numId w:val="2"/>
        </w:numPr>
        <w:spacing w:after="80"/>
      </w:pPr>
      <w:r>
        <w:rPr>
          <w:rFonts w:ascii="Arial" w:cs="Arial" w:eastAsia="Arial" w:hAnsi="Arial"/>
          <w:sz w:val="24"/>
          <w:szCs w:val="24"/>
        </w:rPr>
        <w:t xml:space="preserve">Secondary use restrictions preventing ambient mental health monitoring data from being used for insurance underwriting, employment decisions, law enforcement, or immigration purposes.</w:t>
      </w:r>
    </w:p>
    <w:p>
      <w:pPr>
        <w:pStyle w:val="ListParagraph"/>
        <w:numPr>
          <w:ilvl w:val="0"/>
          <w:numId w:val="2"/>
        </w:numPr>
        <w:spacing w:after="80"/>
      </w:pPr>
      <w:r>
        <w:rPr>
          <w:rFonts w:ascii="Arial" w:cs="Arial" w:eastAsia="Arial" w:hAnsi="Arial"/>
          <w:sz w:val="24"/>
          <w:szCs w:val="24"/>
        </w:rPr>
        <w:t xml:space="preserve">Data sovereignty frameworks enabling individuals to export, transfer, and delete their behavioral data.</w:t>
      </w:r>
    </w:p>
    <w:p>
      <w:pPr>
        <w:spacing w:after="120"/>
      </w:pPr>
      <w:r>
        <w:t xml:space="preserve"/>
      </w:r>
    </w:p>
    <w:p>
      <w:pPr>
        <w:pStyle w:val="Heading1"/>
      </w:pPr>
      <w:r>
        <w:rPr>
          <w:rFonts w:ascii="Arial" w:cs="Arial" w:eastAsia="Arial" w:hAnsi="Arial"/>
          <w:b/>
          <w:bCs/>
          <w:sz w:val="32"/>
          <w:szCs w:val="32"/>
        </w:rPr>
        <w:t xml:space="preserve">14. Statement of Intent</w:t>
      </w:r>
    </w:p>
    <w:p>
      <w:pPr>
        <w:spacing w:after="160"/>
      </w:pPr>
      <w:r>
        <w:rPr>
          <w:rFonts w:ascii="Arial" w:cs="Arial" w:eastAsia="Arial" w:hAnsi="Arial"/>
          <w:sz w:val="24"/>
          <w:szCs w:val="24"/>
        </w:rPr>
        <w:t xml:space="preserve">This disclosure is made in the spirit of open science and public benefit. All techniques, system architectures, algorithms, device interaction paradigms, and clinical applications described herein are dedicated to the public domain under CC0 1.0 Universal. The authors and affiliated organizations expressly waive all intellectual property claims to the subject matter of this disclosure.</w:t>
      </w:r>
    </w:p>
    <w:p>
      <w:pPr>
        <w:spacing w:after="160"/>
      </w:pPr>
      <w:r>
        <w:rPr>
          <w:rFonts w:ascii="Arial" w:cs="Arial" w:eastAsia="Arial" w:hAnsi="Arial"/>
          <w:sz w:val="24"/>
          <w:szCs w:val="24"/>
        </w:rPr>
        <w:t xml:space="preserve">The central novel contribution of this document — that the operational characteristics of consumer devices (response latency, error rates, usage frequency, settings change patterns) constitute independent biomarker channels for mental health monitoring, separate from and complementary to the content those devices produce — is hereby disclosed as prior art effective from the date of this publication.</w:t>
      </w:r>
    </w:p>
    <w:p>
      <w:pPr>
        <w:spacing w:after="160"/>
      </w:pPr>
      <w:r>
        <w:rPr>
          <w:rFonts w:ascii="Arial" w:cs="Arial" w:eastAsia="Arial" w:hAnsi="Arial"/>
          <w:sz w:val="24"/>
          <w:szCs w:val="24"/>
        </w:rPr>
        <w:t xml:space="preserve">This document should be read in conjunction with the companion wearable device disclosure of the same date. Together they are intended to establish comprehensive prior art across the full sensor and inference design space for AI-enabled mental health monitoring systems.</w:t>
      </w:r>
    </w:p>
    <w:p>
      <w:pPr>
        <w:spacing w:after="160"/>
      </w:pPr>
      <w:r>
        <w:rPr>
          <w:rFonts w:ascii="Arial" w:cs="Arial" w:eastAsia="Arial" w:hAnsi="Arial"/>
          <w:sz w:val="24"/>
          <w:szCs w:val="24"/>
        </w:rPr>
        <w:t xml:space="preserve">Nothing in this document should be construed as regulatory approval, clinical validation, or a claim of efficacy for any specific technique. All concepts require appropriate scientific validation, ethical review, informed consent processes, and where applicable regulatory clearance before clinical deployment.</w:t>
      </w:r>
    </w:p>
    <w:p>
      <w:pPr>
        <w:spacing w:after="120"/>
      </w:pPr>
      <w:r>
        <w:t xml:space="preserve"/>
      </w:r>
    </w:p>
    <w:p>
      <w:pPr>
        <w:pBdr>
          <w:top w:val="single" w:color="AAAAAA" w:sz="6" w:space="1"/>
        </w:pBdr>
        <w:spacing w:before="400" w:after="120"/>
      </w:pPr>
      <w:r>
        <w:rPr>
          <w:rFonts w:ascii="Arial" w:cs="Arial" w:eastAsia="Arial" w:hAnsi="Arial"/>
          <w:i/>
          <w:iCs/>
          <w:color w:val="777777"/>
          <w:sz w:val="20"/>
          <w:szCs w:val="20"/>
        </w:rPr>
        <w:t xml:space="preserve">Document prepared for public prior art disclosure purposes. CC0 1.0 Universal — No Rights Reserved. Companion to: AI-Enabled Wearable Systems for Mental Health Monitoring (same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2026-02-26T03:03:31.317Z</dcterms:created>
  <dcterms:modified xsi:type="dcterms:W3CDTF">2026-02-26T03:03:31.336Z</dcterms:modified>
</cp:coreProperties>
</file>

<file path=docProps/custom.xml><?xml version="1.0" encoding="utf-8"?>
<Properties xmlns="http://schemas.openxmlformats.org/officeDocument/2006/custom-properties" xmlns:vt="http://schemas.openxmlformats.org/officeDocument/2006/docPropsVTypes"/>
</file>