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3864"/>
          <w:sz w:val="52"/>
          <w:szCs w:val="52"/>
        </w:rPr>
        <w:t xml:space="preserve">RESEARCH PRIORITY ROADMAP</w:t>
      </w:r>
    </w:p>
    <w:p>
      <w:pPr>
        <w:spacing w:after="200"/>
        <w:jc w:val="center"/>
      </w:pPr>
      <w:r>
        <w:rPr>
          <w:rFonts w:ascii="Arial" w:cs="Arial" w:eastAsia="Arial" w:hAnsi="Arial"/>
          <w:b/>
          <w:bCs/>
          <w:sz w:val="36"/>
          <w:szCs w:val="36"/>
        </w:rPr>
        <w:t xml:space="preserve">AI-Enabled Dementia and Cognitive Decline Detection</w:t>
      </w:r>
    </w:p>
    <w:p>
      <w:pPr>
        <w:spacing w:after="160"/>
        <w:jc w:val="center"/>
      </w:pPr>
      <w:r>
        <w:rPr>
          <w:rFonts w:ascii="Arial" w:cs="Arial" w:eastAsia="Arial" w:hAnsi="Arial"/>
          <w:i/>
          <w:iCs/>
          <w:color w:val="555555"/>
          <w:sz w:val="26"/>
          <w:szCs w:val="26"/>
        </w:rPr>
        <w:t xml:space="preserve">Signal Prioritization Based on Clinical Evidence Strength</w:t>
      </w:r>
    </w:p>
    <w:p>
      <w:pPr>
        <w:spacing w:after="200"/>
        <w:jc w:val="center"/>
      </w:pPr>
      <w:r>
        <w:rPr>
          <w:rFonts w:ascii="Arial" w:cs="Arial" w:eastAsia="Arial" w:hAnsi="Arial"/>
          <w:color w:val="777777"/>
          <w:sz w:val="22"/>
          <w:szCs w:val="22"/>
        </w:rPr>
        <w:t xml:space="preserve">Companion to Defensive Publication Series — February 25, 2026</w:t>
      </w:r>
    </w:p>
    <w:p>
      <w:pPr>
        <w:spacing w:after="600"/>
        <w:jc w:val="center"/>
      </w:pPr>
      <w:r>
        <w:rPr>
          <w:rFonts w:ascii="Arial" w:cs="Arial" w:eastAsia="Arial" w:hAnsi="Arial"/>
          <w:color w:val="777777"/>
          <w:sz w:val="22"/>
          <w:szCs w:val="22"/>
        </w:rPr>
        <w:t xml:space="preserve">Open Research Initiative  |  CC0 1.0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Tier</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Tier 1
Strong</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Tier 2
Moderate</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Tier 3
Emerging</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bCs/>
                <w:color w:val="0C5460"/>
                <w:sz w:val="20"/>
                <w:szCs w:val="20"/>
              </w:rPr>
              <w:t xml:space="preserve">Tier N
Novel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RCTs / longitudinal cohorts (T1) → single studies or strong mechanistic basis (T2) → case series / animal models (T3) → hypothesis only, no published validation (N)</w:t>
            </w:r>
          </w:p>
        </w:tc>
      </w:tr>
    </w:tbl>
    <w:p>
      <w:pPr>
        <w:spacing w:after="140"/>
      </w:pPr>
      <w:r>
        <w:t xml:space="preserve"/>
      </w:r>
    </w:p>
    <w:p>
      <w:pPr>
        <w:pStyle w:val="Heading1"/>
      </w:pPr>
      <w:r>
        <w:rPr>
          <w:rFonts w:ascii="Arial" w:cs="Arial" w:eastAsia="Arial" w:hAnsi="Arial"/>
          <w:b/>
          <w:bCs/>
        </w:rPr>
        <w:t xml:space="preserve">Executive Summary</w:t>
      </w:r>
    </w:p>
    <w:p>
      <w:pPr>
        <w:spacing w:after="160"/>
      </w:pPr>
      <w:r>
        <w:rPr>
          <w:rFonts w:ascii="Arial" w:cs="Arial" w:eastAsia="Arial" w:hAnsi="Arial"/>
          <w:sz w:val="24"/>
          <w:szCs w:val="24"/>
        </w:rPr>
        <w:t xml:space="preserve">This roadmap establishes research priorities for teams working on AI-enabled dementia and cognitive decline detection, ranked by strength of existing clinical evidence. The goal is to guide resource allocation across an open research initiative such that the highest-confidence signals are validated and translated first, creating a clinically credible foundation upon which more speculative approaches can be layered.</w:t>
      </w:r>
    </w:p>
    <w:p>
      <w:pPr>
        <w:spacing w:after="160"/>
      </w:pPr>
      <w:r>
        <w:rPr>
          <w:rFonts w:ascii="Arial" w:cs="Arial" w:eastAsia="Arial" w:hAnsi="Arial"/>
          <w:sz w:val="24"/>
          <w:szCs w:val="24"/>
        </w:rPr>
        <w:t xml:space="preserve">The central opportunity is this: Alzheimer's disease and related dementias (ADRD) have a pathological onset 15–20 years before clinical diagnosis. Current detection depends on expensive, infrequent clinical assessments (neuropsychological testing, PET imaging, CSF biomarkers) that are inaccessible to most of the world's population. Wearable and ambient sensor systems can provide continuous, passive, low-cost behavioral monitoring that closes this gap — but only if the right signals are measured and the right models are trained. This document identifies those signals in priority order.</w:t>
      </w:r>
    </w:p>
    <w:p>
      <w:pPr>
        <w:spacing w:after="160"/>
      </w:pPr>
      <w:r>
        <w:rPr>
          <w:rFonts w:ascii="Arial" w:cs="Arial" w:eastAsia="Arial" w:hAnsi="Arial"/>
          <w:sz w:val="24"/>
          <w:szCs w:val="24"/>
        </w:rPr>
        <w:t xml:space="preserve">Three signal families stand above all others in evidence strength: gait analysis, sleep architecture, and speech/language patterns. Each has multiple independent research groups, longitudinal cohort data, and mechanistic explanations linking the signal to underlying neuropathology. These must be the foundation of any serious research effort. Secondary signals — circadian rhythm disruption, fine motor performance, and mobility pattern change — add complementary evidence and should be developed in parallel. Device interaction telemetry (response latency, error rate) is the most novel claim with the weakest current evidence but potentially highest practical impact given ubiquity of the required hardware.</w:t>
      </w:r>
    </w:p>
    <w:p>
      <w:pPr>
        <w:spacing w:after="140"/>
      </w:pPr>
      <w:r>
        <w:t xml:space="preserve"/>
      </w:r>
    </w:p>
    <w:p>
      <w:pPr>
        <w:pStyle w:val="Heading1"/>
      </w:pPr>
      <w:r>
        <w:rPr>
          <w:rFonts w:ascii="Arial" w:cs="Arial" w:eastAsia="Arial" w:hAnsi="Arial"/>
          <w:b/>
          <w:bCs/>
        </w:rPr>
        <w:t xml:space="preserve">Master Signal Priority Matrix</w:t>
      </w:r>
    </w:p>
    <w:p>
      <w:pPr>
        <w:spacing w:after="160"/>
      </w:pPr>
      <w:r>
        <w:rPr>
          <w:rFonts w:ascii="Arial" w:cs="Arial" w:eastAsia="Arial" w:hAnsi="Arial"/>
          <w:sz w:val="24"/>
          <w:szCs w:val="24"/>
        </w:rPr>
        <w:t xml:space="preserve">The following table summarizes all candidate signals ranked by evidence tier, feasibility, data accessibility, and regulatory risk. Signals are ordered within tier by estimated research ROI.</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1100"/>
        <w:gridCol w:w="1100"/>
        <w:gridCol w:w="24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Device(s)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Tier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Feasibility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Avail.</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Limitation</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Gait: speed, variability, dual-task</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Phone IMU, camera, wearable</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Tier 1</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High</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Moderate</w:t>
            </w:r>
          </w:p>
        </w:tc>
        <w:tc>
          <w:tcPr>
            <w:tcW w:type="dxa" w:w="24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Dual-task gait requires prompting; falls risk in severe cases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Sleep architecture: SWS, REM reduction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Phone, wearable, smart speaker</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Tier 1</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High</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High</w:t>
            </w:r>
          </w:p>
        </w:tc>
        <w:tc>
          <w:tcPr>
            <w:tcW w:type="dxa" w:w="24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PSG ground truth expensive; wearable staging error ~15%</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Speech: semantic coherence, lexical diversity, pause patterns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Phone, smart speaker, TV</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Tier 1</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High</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Low</w:t>
            </w:r>
          </w:p>
        </w:tc>
        <w:tc>
          <w:tcPr>
            <w:tcW w:type="dxa" w:w="24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Labeled longitudinal speech datasets rare; language/accent confounds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Circadian rhythm: amplitude, fragmentation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Phone, wearable, smart home</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Tier 1</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High</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High</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Signal present but hard to separate from lifestyle confounders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Fine motor: typing, touch, tremor</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Phone, tablet, smart TV remote</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Tier 2</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High</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Moderate</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Strong MCI signal; Parkinson confound needs resolution</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Mobility: GPS radius, location entropy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Phone GPS</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Tier 2</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High</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High</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Depression/social confounders; rural vs urban baseline differences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Medication adherence via behavioral proxy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Smart dispenser, phone, routine sensors</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Tier 2</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Moderate</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Low</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Ground truth requires smart dispenser deployment; proxy validity unproven</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HRV and autonomic nervous system state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Wearable, phone (rPPG)</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Tier 2</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High</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Moderate</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Mechanistic link clear; specificity to dementia vs. depression weak</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Face detection / social contact frequency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Doorbell, indoor camera, phone</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Tier 2</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Moderate</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Low</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Social isolation well-linked to ADRD; camera privacy concerns high</w:t>
            </w:r>
          </w:p>
        </w:tc>
      </w:tr>
      <w:tr>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Wandering detection (established dementia)</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GPS, indoor camera, door sensors</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Tier 3</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High</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Moderate</w:t>
            </w:r>
          </w:p>
        </w:tc>
        <w:tc>
          <w:tcPr>
            <w:tcW w:type="dxa" w:w="24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Useful for safety monitoring but late-stage only; not early detection</w:t>
            </w:r>
          </w:p>
        </w:tc>
      </w:tr>
      <w:tr>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Self-care routine disruption (cooking, hygiene)</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Smart appliances, camera, sensors</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Tier 3</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Moderate</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Low</w:t>
            </w:r>
          </w:p>
        </w:tc>
        <w:tc>
          <w:tcPr>
            <w:tcW w:type="dxa" w:w="24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Plausible but no large longitudinal validation studies</w:t>
            </w:r>
          </w:p>
        </w:tc>
      </w:tr>
      <w:tr>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TV viewing patterns and content interaction</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Smart TV, streaming device</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Tier 3</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High</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Low</w:t>
            </w:r>
          </w:p>
        </w:tc>
        <w:tc>
          <w:tcPr>
            <w:tcW w:type="dxa" w:w="24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Plausible attention/engagement proxy; zero published clinical validation</w:t>
            </w:r>
          </w:p>
        </w:tc>
      </w:tr>
      <w:tr>
        <w:tc>
          <w:tcPr>
            <w:tcW w:type="dxa" w:w="2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Device interaction latency and error rates</w:t>
            </w:r>
          </w:p>
        </w:tc>
        <w:tc>
          <w:tcPr>
            <w:tcW w:type="dxa" w:w="14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All consumer devices</w:t>
            </w:r>
          </w:p>
        </w:tc>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bCs/>
                <w:color w:val="0C5460"/>
                <w:sz w:val="20"/>
                <w:szCs w:val="20"/>
              </w:rPr>
              <w:t xml:space="preserve">Tier N</w:t>
            </w:r>
          </w:p>
        </w:tc>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bCs/>
                <w:color w:val="0C5460"/>
                <w:sz w:val="20"/>
                <w:szCs w:val="20"/>
              </w:rPr>
              <w:t xml:space="preserve">High</w:t>
            </w:r>
          </w:p>
        </w:tc>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bCs/>
                <w:color w:val="0C5460"/>
                <w:sz w:val="20"/>
                <w:szCs w:val="20"/>
              </w:rPr>
              <w:t xml:space="preserve">None</w:t>
            </w:r>
          </w:p>
        </w:tc>
        <w:tc>
          <w:tcPr>
            <w:tcW w:type="dxa" w:w="24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Novel hypothesis; high-impact if validated; requires prospective study design</w:t>
            </w:r>
          </w:p>
        </w:tc>
      </w:tr>
      <w:tr>
        <w:tc>
          <w:tcPr>
            <w:tcW w:type="dxa" w:w="2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Thermostat / comfort-seeking behavioral change</w:t>
            </w:r>
          </w:p>
        </w:tc>
        <w:tc>
          <w:tcPr>
            <w:tcW w:type="dxa" w:w="14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Smart thermostat</w:t>
            </w:r>
          </w:p>
        </w:tc>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bCs/>
                <w:color w:val="0C5460"/>
                <w:sz w:val="20"/>
                <w:szCs w:val="20"/>
              </w:rPr>
              <w:t xml:space="preserve">Tier N</w:t>
            </w:r>
          </w:p>
        </w:tc>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bCs/>
                <w:color w:val="0C5460"/>
                <w:sz w:val="20"/>
                <w:szCs w:val="20"/>
              </w:rPr>
              <w:t xml:space="preserve">High</w:t>
            </w:r>
          </w:p>
        </w:tc>
        <w:tc>
          <w:tcPr>
            <w:tcW w:type="dxa" w:w="11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bCs/>
                <w:color w:val="0C5460"/>
                <w:sz w:val="20"/>
                <w:szCs w:val="20"/>
              </w:rPr>
              <w:t xml:space="preserve">None</w:t>
            </w:r>
          </w:p>
        </w:tc>
        <w:tc>
          <w:tcPr>
            <w:tcW w:type="dxa" w:w="24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Hypothesized autonomic dysregulation proxy; no published evidence</w:t>
            </w:r>
          </w:p>
        </w:tc>
      </w:tr>
    </w:tbl>
    <w:p>
      <w:pPr>
        <w:spacing w:after="140"/>
      </w:pPr>
      <w:r>
        <w:t xml:space="preserve"/>
      </w:r>
    </w:p>
    <w:p>
      <w:pPr>
        <w:pStyle w:val="Heading1"/>
      </w:pPr>
      <w:r>
        <w:rPr>
          <w:rFonts w:ascii="Arial" w:cs="Arial" w:eastAsia="Arial" w:hAnsi="Arial"/>
          <w:b/>
          <w:bCs/>
        </w:rPr>
        <w:t xml:space="preserve">Section 2: Tier 1 Signals — Build These First</w:t>
      </w:r>
    </w:p>
    <w:p>
      <w:pPr>
        <w:spacing w:after="160"/>
      </w:pPr>
      <w:r>
        <w:rPr>
          <w:rFonts w:ascii="Arial" w:cs="Arial" w:eastAsia="Arial" w:hAnsi="Arial"/>
          <w:sz w:val="24"/>
          <w:szCs w:val="24"/>
        </w:rPr>
        <w:t xml:space="preserve">These three signal families have the strongest independent clinical evidence bases, the clearest mechanistic links to neuropathology, and the most tractable data collection pipelines. Any research team entering this space should begin here.</w:t>
      </w:r>
    </w:p>
    <w:p>
      <w:pPr>
        <w:pStyle w:val="Heading2"/>
      </w:pPr>
      <w:r>
        <w:rPr>
          <w:rFonts w:ascii="Arial" w:cs="Arial" w:eastAsia="Arial" w:hAnsi="Arial"/>
          <w:b/>
          <w:bCs/>
        </w:rPr>
        <w:t xml:space="preserve">2.1 Gait Analysis</w:t>
      </w:r>
    </w:p>
    <w:p>
      <w:pPr>
        <w:spacing w:after="120"/>
      </w:pPr>
      <w:r>
        <w:rPr>
          <w:rFonts w:ascii="Arial" w:cs="Arial" w:eastAsia="Arial" w:hAnsi="Arial"/>
          <w:b/>
          <w:bCs/>
          <w:sz w:val="24"/>
          <w:szCs w:val="24"/>
        </w:rPr>
        <w:t xml:space="preserve">Clinical Evidence Summary: </w:t>
      </w:r>
      <w:r>
        <w:rPr>
          <w:rFonts w:ascii="Arial" w:cs="Arial" w:eastAsia="Arial" w:hAnsi="Arial"/>
          <w:sz w:val="24"/>
          <w:szCs w:val="24"/>
        </w:rPr>
        <w:t xml:space="preserve">Gait slowing and increased gait variability precede cognitive diagnosis by 3–7 years in longitudinal studies. The GAIT study (Beauchet et al.) and multiple subsequent cohorts have shown that stride time variability predicts MCI conversion with AUCs in the range of 0.75–0.85. Dual-task gait performance — walking while performing a cognitive task — is particularly sensitive, with degradation detectable in subjective cognitive decline (SCD) before any clinical MCI criteria are met. The mechanistic link is well-established: prefrontal-cerebellar circuits governing executive function and gait control overlap substantially, and early Alzheimer tau pathology in these circuits produces measurable gait changes.</w:t>
      </w:r>
    </w:p>
    <w:p>
      <w:pPr>
        <w:spacing w:after="120"/>
      </w:pPr>
      <w:r>
        <w:rPr>
          <w:rFonts w:ascii="Arial" w:cs="Arial" w:eastAsia="Arial" w:hAnsi="Arial"/>
          <w:b/>
          <w:bCs/>
          <w:sz w:val="24"/>
          <w:szCs w:val="24"/>
        </w:rPr>
        <w:t xml:space="preserve">Key Published Evidence: </w:t>
      </w:r>
      <w:r>
        <w:rPr>
          <w:rFonts w:ascii="Arial" w:cs="Arial" w:eastAsia="Arial" w:hAnsi="Arial"/>
          <w:sz w:val="24"/>
          <w:szCs w:val="24"/>
        </w:rPr>
        <w:t xml:space="preserve">Montero-Odasso et al. (2012) Lancet Neurology — gait as a biomarker of cognitive decline; Verghese et al. — Einstein Aging Study longitudinal cohort; Hausdorff et al. — gait variability and fall prediction as cognitive proxy; Su et al. (2021) — smartphone IMU gait assessment validated against clinical gait lab.</w:t>
      </w:r>
    </w:p>
    <w:p>
      <w:pPr>
        <w:spacing w:after="120"/>
      </w:pPr>
      <w:r>
        <w:rPr>
          <w:rFonts w:ascii="Arial" w:cs="Arial" w:eastAsia="Arial" w:hAnsi="Arial"/>
          <w:b/>
          <w:bCs/>
          <w:sz w:val="24"/>
          <w:szCs w:val="24"/>
        </w:rPr>
        <w:t xml:space="preserve">Recommended Signal Features: </w:t>
      </w:r>
      <w:r>
        <w:rPr>
          <w:rFonts w:ascii="Arial" w:cs="Arial" w:eastAsia="Arial" w:hAnsi="Arial"/>
          <w:sz w:val="24"/>
          <w:szCs w:val="24"/>
        </w:rPr>
        <w:t xml:space="preserve">Stride velocity, stride time variability (CV), cadence, double support time, step length asymmetry, dual-task cost (cost = (single-task perf - dual-task perf) / single-task perf x 100), turning speed and turn time, and 6-minute walk test equivalent from continuous monitoring.</w:t>
      </w:r>
    </w:p>
    <w:p>
      <w:pPr>
        <w:pStyle w:val="Heading3"/>
      </w:pPr>
      <w:r>
        <w:rPr>
          <w:rFonts w:ascii="Arial" w:cs="Arial" w:eastAsia="Arial" w:hAnsi="Arial"/>
          <w:b/>
          <w:bCs/>
        </w:rPr>
        <w:t xml:space="preserve">Research Priorities for Gait</w:t>
      </w:r>
    </w:p>
    <w:p>
      <w:pPr>
        <w:pStyle w:val="ListParagraph"/>
        <w:numPr>
          <w:ilvl w:val="0"/>
          <w:numId w:val="2"/>
        </w:numPr>
        <w:spacing w:after="100"/>
      </w:pPr>
      <w:r>
        <w:rPr>
          <w:rFonts w:ascii="Arial" w:cs="Arial" w:eastAsia="Arial" w:hAnsi="Arial"/>
          <w:sz w:val="24"/>
          <w:szCs w:val="24"/>
        </w:rPr>
        <w:t xml:space="preserve">Develop and validate a smartphone IMU gait assessment pipeline producing clinically validated metrics matching instrumented walkway outputs (GAITRite, Tekscan). Target: ICC &gt; 0.85 for stride velocity and CV against gold standard.</w:t>
      </w:r>
    </w:p>
    <w:p>
      <w:pPr>
        <w:pStyle w:val="ListParagraph"/>
        <w:numPr>
          <w:ilvl w:val="0"/>
          <w:numId w:val="2"/>
        </w:numPr>
        <w:spacing w:after="100"/>
      </w:pPr>
      <w:r>
        <w:rPr>
          <w:rFonts w:ascii="Arial" w:cs="Arial" w:eastAsia="Arial" w:hAnsi="Arial"/>
          <w:sz w:val="24"/>
          <w:szCs w:val="24"/>
        </w:rPr>
        <w:t xml:space="preserve">Design and validate a passive continuous gait monitoring approach that extracts gait features from background phone accelerometry during natural walking episodes without requiring any structured test protocol.</w:t>
      </w:r>
    </w:p>
    <w:p>
      <w:pPr>
        <w:pStyle w:val="ListParagraph"/>
        <w:numPr>
          <w:ilvl w:val="0"/>
          <w:numId w:val="2"/>
        </w:numPr>
        <w:spacing w:after="100"/>
      </w:pPr>
      <w:r>
        <w:rPr>
          <w:rFonts w:ascii="Arial" w:cs="Arial" w:eastAsia="Arial" w:hAnsi="Arial"/>
          <w:sz w:val="24"/>
          <w:szCs w:val="24"/>
        </w:rPr>
        <w:t xml:space="preserve">Implement dual-task gait protocols deliverable via phone: standardized cognitive tasks (verbal fluency, backwards counting, visual search) paired with IMU gait capture, with normative data stratified by age, sex, and education.</w:t>
      </w:r>
    </w:p>
    <w:p>
      <w:pPr>
        <w:pStyle w:val="ListParagraph"/>
        <w:numPr>
          <w:ilvl w:val="0"/>
          <w:numId w:val="2"/>
        </w:numPr>
        <w:spacing w:after="100"/>
      </w:pPr>
      <w:r>
        <w:rPr>
          <w:rFonts w:ascii="Arial" w:cs="Arial" w:eastAsia="Arial" w:hAnsi="Arial"/>
          <w:sz w:val="24"/>
          <w:szCs w:val="24"/>
        </w:rPr>
        <w:t xml:space="preserve">Establish longitudinal sensitivity of smartphone gait metrics to conversion from cognitively normal to SCD to MCI to dementia, targeting a minimum 18-month follow-up cohort of N &gt; 500.</w:t>
      </w:r>
    </w:p>
    <w:p>
      <w:pPr>
        <w:pStyle w:val="ListParagraph"/>
        <w:numPr>
          <w:ilvl w:val="0"/>
          <w:numId w:val="2"/>
        </w:numPr>
        <w:spacing w:after="100"/>
      </w:pPr>
      <w:r>
        <w:rPr>
          <w:rFonts w:ascii="Arial" w:cs="Arial" w:eastAsia="Arial" w:hAnsi="Arial"/>
          <w:sz w:val="24"/>
          <w:szCs w:val="24"/>
        </w:rPr>
        <w:t xml:space="preserve">Develop camera-based gait analysis pipelines for ambient home monitoring using pose estimation (MediaPipe, OpenPose derivatives) on security camera or smart TV camera footage, validated against IMU reference.</w:t>
      </w:r>
    </w:p>
    <w:p>
      <w:pPr>
        <w:pStyle w:val="ListParagraph"/>
        <w:numPr>
          <w:ilvl w:val="0"/>
          <w:numId w:val="2"/>
        </w:numPr>
        <w:spacing w:after="100"/>
      </w:pPr>
      <w:r>
        <w:rPr>
          <w:rFonts w:ascii="Arial" w:cs="Arial" w:eastAsia="Arial" w:hAnsi="Arial"/>
          <w:sz w:val="24"/>
          <w:szCs w:val="24"/>
        </w:rPr>
        <w:t xml:space="preserve">Characterize confounders systematically: musculoskeletal conditions, Parkinson's disease, peripheral neuropathy, vision impairment, medications (benzodiazepines, antipsychotics), and develop correction or exclusion criteria.</w:t>
      </w:r>
    </w:p>
    <w:p>
      <w:pPr>
        <w:spacing w:after="140"/>
      </w:pPr>
      <w:r>
        <w:t xml:space="preserve"/>
      </w:r>
    </w:p>
    <w:p>
      <w:pPr>
        <w:pStyle w:val="Heading2"/>
      </w:pPr>
      <w:r>
        <w:rPr>
          <w:rFonts w:ascii="Arial" w:cs="Arial" w:eastAsia="Arial" w:hAnsi="Arial"/>
          <w:b/>
          <w:bCs/>
        </w:rPr>
        <w:t xml:space="preserve">2.2 Sleep Architecture</w:t>
      </w:r>
    </w:p>
    <w:p>
      <w:pPr>
        <w:spacing w:after="120"/>
      </w:pPr>
      <w:r>
        <w:rPr>
          <w:rFonts w:ascii="Arial" w:cs="Arial" w:eastAsia="Arial" w:hAnsi="Arial"/>
          <w:b/>
          <w:bCs/>
          <w:sz w:val="24"/>
          <w:szCs w:val="24"/>
        </w:rPr>
        <w:t xml:space="preserve">Clinical Evidence Summary: </w:t>
      </w:r>
      <w:r>
        <w:rPr>
          <w:rFonts w:ascii="Arial" w:cs="Arial" w:eastAsia="Arial" w:hAnsi="Arial"/>
          <w:sz w:val="24"/>
          <w:szCs w:val="24"/>
        </w:rPr>
        <w:t xml:space="preserve">Sleep disruption is both an early symptom and a mechanistic driver of Alzheimer's disease progression. The glymphatic hypothesis — that slow-wave sleep (SWS) drives clearance of amyloid-beta and tau from the brain — provides a compelling mechanistic link. Longitudinal cohort studies show that reduced SWS and REM sleep, increased sleep fragmentation, and sleep-disordered breathing each independently predict dementia onset 5–10 years before diagnosis. The ARIC study, Rush Memory and Aging Project, and multiple European cohorts have replicated these findings. Critically, sleep changes are detectable from wearable and ambient sensors at moderate accuracy, making this the most immediately scalable early detection signal.</w:t>
      </w:r>
    </w:p>
    <w:p>
      <w:pPr>
        <w:spacing w:after="120"/>
      </w:pPr>
      <w:r>
        <w:rPr>
          <w:rFonts w:ascii="Arial" w:cs="Arial" w:eastAsia="Arial" w:hAnsi="Arial"/>
          <w:b/>
          <w:bCs/>
          <w:sz w:val="24"/>
          <w:szCs w:val="24"/>
        </w:rPr>
        <w:t xml:space="preserve">Key Published Evidence: </w:t>
      </w:r>
      <w:r>
        <w:rPr>
          <w:rFonts w:ascii="Arial" w:cs="Arial" w:eastAsia="Arial" w:hAnsi="Arial"/>
          <w:sz w:val="24"/>
          <w:szCs w:val="24"/>
        </w:rPr>
        <w:t xml:space="preserve">Lucey et al. (2021) Nature Communications — single-night PSG predicts amyloid status; Spira et al. — self-reported sleep and amyloid PET; Ju et al. — sleep and tau/amyloid biomarkers; Blackwell et al. — actigraphy sleep fragmentation and dementia risk in MrOS cohort.</w:t>
      </w:r>
    </w:p>
    <w:p>
      <w:pPr>
        <w:spacing w:after="120"/>
      </w:pPr>
      <w:r>
        <w:rPr>
          <w:rFonts w:ascii="Arial" w:cs="Arial" w:eastAsia="Arial" w:hAnsi="Arial"/>
          <w:b/>
          <w:bCs/>
          <w:sz w:val="24"/>
          <w:szCs w:val="24"/>
        </w:rPr>
        <w:t xml:space="preserve">Recommended Signal Features: </w:t>
      </w:r>
      <w:r>
        <w:rPr>
          <w:rFonts w:ascii="Arial" w:cs="Arial" w:eastAsia="Arial" w:hAnsi="Arial"/>
          <w:sz w:val="24"/>
          <w:szCs w:val="24"/>
        </w:rPr>
        <w:t xml:space="preserve">Total sleep time, sleep efficiency (time asleep / time in bed), sleep onset latency, wake after sleep onset (WASO), number of awakenings, slow-wave sleep percentage (estimated), REM percentage (estimated), REM latency, sleep regularity index (SRI), interdaily stability of sleep timing, intradaily variability, and sleep-disordered breathing index from nocturnal oximetry or audio.</w:t>
      </w:r>
    </w:p>
    <w:p>
      <w:pPr>
        <w:pStyle w:val="Heading3"/>
      </w:pPr>
      <w:r>
        <w:rPr>
          <w:rFonts w:ascii="Arial" w:cs="Arial" w:eastAsia="Arial" w:hAnsi="Arial"/>
          <w:b/>
          <w:bCs/>
        </w:rPr>
        <w:t xml:space="preserve">Research Priorities for Sleep</w:t>
      </w:r>
    </w:p>
    <w:p>
      <w:pPr>
        <w:pStyle w:val="ListParagraph"/>
        <w:numPr>
          <w:ilvl w:val="0"/>
          <w:numId w:val="2"/>
        </w:numPr>
        <w:spacing w:after="100"/>
      </w:pPr>
      <w:r>
        <w:rPr>
          <w:rFonts w:ascii="Arial" w:cs="Arial" w:eastAsia="Arial" w:hAnsi="Arial"/>
          <w:sz w:val="24"/>
          <w:szCs w:val="24"/>
        </w:rPr>
        <w:t xml:space="preserve">Validate wearable-derived sleep staging (consumer wearables: Oura, Garmin, Apple Watch, Fitbit) against PSG gold standard in cognitively impaired populations, generating device-specific accuracy characterizations. Existing validations are predominantly in healthy young adults.</w:t>
      </w:r>
    </w:p>
    <w:p>
      <w:pPr>
        <w:pStyle w:val="ListParagraph"/>
        <w:numPr>
          <w:ilvl w:val="0"/>
          <w:numId w:val="2"/>
        </w:numPr>
        <w:spacing w:after="100"/>
      </w:pPr>
      <w:r>
        <w:rPr>
          <w:rFonts w:ascii="Arial" w:cs="Arial" w:eastAsia="Arial" w:hAnsi="Arial"/>
          <w:sz w:val="24"/>
          <w:szCs w:val="24"/>
        </w:rPr>
        <w:t xml:space="preserve">Develop and validate a smart speaker acoustic sleep monitoring pipeline: on-device classification of sleep sounds (breathing rate, snore events, movement sounds) producing sleep quality metrics, validated against PSG in home environment.</w:t>
      </w:r>
    </w:p>
    <w:p>
      <w:pPr>
        <w:pStyle w:val="ListParagraph"/>
        <w:numPr>
          <w:ilvl w:val="0"/>
          <w:numId w:val="2"/>
        </w:numPr>
        <w:spacing w:after="100"/>
      </w:pPr>
      <w:r>
        <w:rPr>
          <w:rFonts w:ascii="Arial" w:cs="Arial" w:eastAsia="Arial" w:hAnsi="Arial"/>
          <w:sz w:val="24"/>
          <w:szCs w:val="24"/>
        </w:rPr>
        <w:t xml:space="preserve">Establish longitudinal sensitivity of consumer wearable sleep metrics to Alzheimer's biomarker status (amyloid PET, CSF Abeta/tau) in a cross-sectional enriched cohort design as a faster alternative to full longitudinal conversion study.</w:t>
      </w:r>
    </w:p>
    <w:p>
      <w:pPr>
        <w:pStyle w:val="ListParagraph"/>
        <w:numPr>
          <w:ilvl w:val="0"/>
          <w:numId w:val="2"/>
        </w:numPr>
        <w:spacing w:after="100"/>
      </w:pPr>
      <w:r>
        <w:rPr>
          <w:rFonts w:ascii="Arial" w:cs="Arial" w:eastAsia="Arial" w:hAnsi="Arial"/>
          <w:sz w:val="24"/>
          <w:szCs w:val="24"/>
        </w:rPr>
        <w:t xml:space="preserve">Develop sleep regularity index (SRI) and circadian amplitude metrics from passive phone data (screen on/off, accelerometry, charging behavior) as a zero-additional-hardware sleep proxy for populations not wearing dedicated sleep trackers.</w:t>
      </w:r>
    </w:p>
    <w:p>
      <w:pPr>
        <w:pStyle w:val="ListParagraph"/>
        <w:numPr>
          <w:ilvl w:val="0"/>
          <w:numId w:val="2"/>
        </w:numPr>
        <w:spacing w:after="100"/>
      </w:pPr>
      <w:r>
        <w:rPr>
          <w:rFonts w:ascii="Arial" w:cs="Arial" w:eastAsia="Arial" w:hAnsi="Arial"/>
          <w:sz w:val="24"/>
          <w:szCs w:val="24"/>
        </w:rPr>
        <w:t xml:space="preserve">Characterize sleep-disordered breathing (SDB) as a confounder and co-predictor: individuals with untreated obstructive sleep apnea have overlapping sleep architecture signatures and independent dementia risk. Develop SDB screening pipeline to separate its contribution.</w:t>
      </w:r>
    </w:p>
    <w:p>
      <w:pPr>
        <w:pStyle w:val="ListParagraph"/>
        <w:numPr>
          <w:ilvl w:val="0"/>
          <w:numId w:val="2"/>
        </w:numPr>
        <w:spacing w:after="100"/>
      </w:pPr>
      <w:r>
        <w:rPr>
          <w:rFonts w:ascii="Arial" w:cs="Arial" w:eastAsia="Arial" w:hAnsi="Arial"/>
          <w:sz w:val="24"/>
          <w:szCs w:val="24"/>
        </w:rPr>
        <w:t xml:space="preserve">Design a home-based sleep monitoring protocol suitable for longitudinal research deployment in memory clinic populations: acceptable to older adults, minimal burden, validated data quality monitoring.</w:t>
      </w:r>
    </w:p>
    <w:p>
      <w:pPr>
        <w:spacing w:after="140"/>
      </w:pPr>
      <w:r>
        <w:t xml:space="preserve"/>
      </w:r>
    </w:p>
    <w:p>
      <w:pPr>
        <w:pStyle w:val="Heading2"/>
      </w:pPr>
      <w:r>
        <w:rPr>
          <w:rFonts w:ascii="Arial" w:cs="Arial" w:eastAsia="Arial" w:hAnsi="Arial"/>
          <w:b/>
          <w:bCs/>
        </w:rPr>
        <w:t xml:space="preserve">2.3 Speech and Language Biomarkers</w:t>
      </w:r>
    </w:p>
    <w:p>
      <w:pPr>
        <w:spacing w:after="120"/>
      </w:pPr>
      <w:r>
        <w:rPr>
          <w:rFonts w:ascii="Arial" w:cs="Arial" w:eastAsia="Arial" w:hAnsi="Arial"/>
          <w:b/>
          <w:bCs/>
          <w:sz w:val="24"/>
          <w:szCs w:val="24"/>
        </w:rPr>
        <w:t xml:space="preserve">Clinical Evidence Summary: </w:t>
      </w:r>
      <w:r>
        <w:rPr>
          <w:rFonts w:ascii="Arial" w:cs="Arial" w:eastAsia="Arial" w:hAnsi="Arial"/>
          <w:sz w:val="24"/>
          <w:szCs w:val="24"/>
        </w:rPr>
        <w:t xml:space="preserve">Language impairment is among the earliest cognitive changes in Alzheimer's disease, reflecting pathology in temporal and frontal language networks. Automated speech analysis has demonstrated the ability to predict progression from MCI to Alzheimer's with AUCs of 0.80–0.92 in multiple published studies using the DementiaBank Pitt Corpus and similar datasets. Features span acoustic (fundamental frequency, jitter, shimmer, pauses), lexical (word frequency, type-token ratio, vocabulary richness), syntactic (parse tree depth, syntactic complexity), and semantic (topic drift, coherence, information unit density in picture description) domains. Critically, acoustic features alone — extractable without any transcription — show substantial discriminative ability, enabling privacy-preserving deployment.</w:t>
      </w:r>
    </w:p>
    <w:p>
      <w:pPr>
        <w:spacing w:after="120"/>
      </w:pPr>
      <w:r>
        <w:rPr>
          <w:rFonts w:ascii="Arial" w:cs="Arial" w:eastAsia="Arial" w:hAnsi="Arial"/>
          <w:b/>
          <w:bCs/>
          <w:sz w:val="24"/>
          <w:szCs w:val="24"/>
        </w:rPr>
        <w:t xml:space="preserve">Key Published Evidence: </w:t>
      </w:r>
      <w:r>
        <w:rPr>
          <w:rFonts w:ascii="Arial" w:cs="Arial" w:eastAsia="Arial" w:hAnsi="Arial"/>
          <w:sz w:val="24"/>
          <w:szCs w:val="24"/>
        </w:rPr>
        <w:t xml:space="preserve">Fraser et al. (2016) Alzheimer's &amp; Dementia — NLP on DementiaBank achieves 81% classification; Luz et al. — ADReSS Challenge benchmark results; König et al. — acoustic features in connected speech; Toth et al. — speech disfluency in MCI; Petti et al. (2020) — systematic review of automated speech analysis in dementia.</w:t>
      </w:r>
    </w:p>
    <w:p>
      <w:pPr>
        <w:spacing w:after="120"/>
      </w:pPr>
      <w:r>
        <w:rPr>
          <w:rFonts w:ascii="Arial" w:cs="Arial" w:eastAsia="Arial" w:hAnsi="Arial"/>
          <w:b/>
          <w:bCs/>
          <w:sz w:val="24"/>
          <w:szCs w:val="24"/>
        </w:rPr>
        <w:t xml:space="preserve">Recommended Signal Features: </w:t>
      </w:r>
      <w:r>
        <w:rPr>
          <w:rFonts w:ascii="Arial" w:cs="Arial" w:eastAsia="Arial" w:hAnsi="Arial"/>
          <w:sz w:val="24"/>
          <w:szCs w:val="24"/>
        </w:rPr>
        <w:t xml:space="preserve">Pause frequency and duration (within and between utterances), speech rate (syllables/second), articulation rate, fundamental frequency mean and variability, voice quality metrics (jitter, shimmer, HNR), lexical richness (TTR, MSTTR, Yule's K), semantic coherence (sentence embedding cosine similarity across utterance sequence), information unit count in standardized picture description tasks, filler word frequency ('um', 'uh', 'you know'), syntactic complexity indices, word-finding pause rate.</w:t>
      </w:r>
    </w:p>
    <w:p>
      <w:pPr>
        <w:pStyle w:val="Heading3"/>
      </w:pPr>
      <w:r>
        <w:rPr>
          <w:rFonts w:ascii="Arial" w:cs="Arial" w:eastAsia="Arial" w:hAnsi="Arial"/>
          <w:b/>
          <w:bCs/>
        </w:rPr>
        <w:t xml:space="preserve">Research Priorities for Speech</w:t>
      </w:r>
    </w:p>
    <w:p>
      <w:pPr>
        <w:pStyle w:val="ListParagraph"/>
        <w:numPr>
          <w:ilvl w:val="0"/>
          <w:numId w:val="2"/>
        </w:numPr>
        <w:spacing w:after="100"/>
      </w:pPr>
      <w:r>
        <w:rPr>
          <w:rFonts w:ascii="Arial" w:cs="Arial" w:eastAsia="Arial" w:hAnsi="Arial"/>
          <w:sz w:val="24"/>
          <w:szCs w:val="24"/>
        </w:rPr>
        <w:t xml:space="preserve">Build an open, multilingual speech biomarker dataset for dementia research: structured picture description tasks (Cookie Theft, Cat Rescue), spontaneous speech samples, and conversational speech collected longitudinally from cognitively normal, MCI, and mild Alzheimer's participants with concurrent clinical and biomarker assessments. Current datasets (DementiaBank) are small, English-only, and not longitudinal.</w:t>
      </w:r>
    </w:p>
    <w:p>
      <w:pPr>
        <w:pStyle w:val="ListParagraph"/>
        <w:numPr>
          <w:ilvl w:val="0"/>
          <w:numId w:val="2"/>
        </w:numPr>
        <w:spacing w:after="100"/>
      </w:pPr>
      <w:r>
        <w:rPr>
          <w:rFonts w:ascii="Arial" w:cs="Arial" w:eastAsia="Arial" w:hAnsi="Arial"/>
          <w:sz w:val="24"/>
          <w:szCs w:val="24"/>
        </w:rPr>
        <w:t xml:space="preserve">Develop and validate an on-device speech feature extraction pipeline producing acoustic and prosodic features without any audio leaving the device or any content transcription. Target platforms: iOS, Android, Alexa skill, smart TV application.</w:t>
      </w:r>
    </w:p>
    <w:p>
      <w:pPr>
        <w:pStyle w:val="ListParagraph"/>
        <w:numPr>
          <w:ilvl w:val="0"/>
          <w:numId w:val="2"/>
        </w:numPr>
        <w:spacing w:after="100"/>
      </w:pPr>
      <w:r>
        <w:rPr>
          <w:rFonts w:ascii="Arial" w:cs="Arial" w:eastAsia="Arial" w:hAnsi="Arial"/>
          <w:sz w:val="24"/>
          <w:szCs w:val="24"/>
        </w:rPr>
        <w:t xml:space="preserve">Validate acoustic-only (no transcription) speech classifiers against NLP-based classifiers using matched datasets to establish the privacy-preserving lower bound on discriminative performance.</w:t>
      </w:r>
    </w:p>
    <w:p>
      <w:pPr>
        <w:pStyle w:val="ListParagraph"/>
        <w:numPr>
          <w:ilvl w:val="0"/>
          <w:numId w:val="2"/>
        </w:numPr>
        <w:spacing w:after="100"/>
      </w:pPr>
      <w:r>
        <w:rPr>
          <w:rFonts w:ascii="Arial" w:cs="Arial" w:eastAsia="Arial" w:hAnsi="Arial"/>
          <w:sz w:val="24"/>
          <w:szCs w:val="24"/>
        </w:rPr>
        <w:t xml:space="preserve">Design a passive ambient speech monitoring approach: continuous background voice activity detection with periodic triggered feature extraction during natural phone call or smart speaker interaction, producing longitudinal speech trajectory data without structured test protocols.</w:t>
      </w:r>
    </w:p>
    <w:p>
      <w:pPr>
        <w:pStyle w:val="ListParagraph"/>
        <w:numPr>
          <w:ilvl w:val="0"/>
          <w:numId w:val="2"/>
        </w:numPr>
        <w:spacing w:after="100"/>
      </w:pPr>
      <w:r>
        <w:rPr>
          <w:rFonts w:ascii="Arial" w:cs="Arial" w:eastAsia="Arial" w:hAnsi="Arial"/>
          <w:sz w:val="24"/>
          <w:szCs w:val="24"/>
        </w:rPr>
        <w:t xml:space="preserve">Develop speaker normalization and language/accent/dialect adaptation methods to reduce demographic performance disparities in speech biomarker models.</w:t>
      </w:r>
    </w:p>
    <w:p>
      <w:pPr>
        <w:pStyle w:val="ListParagraph"/>
        <w:numPr>
          <w:ilvl w:val="0"/>
          <w:numId w:val="2"/>
        </w:numPr>
        <w:spacing w:after="100"/>
      </w:pPr>
      <w:r>
        <w:rPr>
          <w:rFonts w:ascii="Arial" w:cs="Arial" w:eastAsia="Arial" w:hAnsi="Arial"/>
          <w:sz w:val="24"/>
          <w:szCs w:val="24"/>
        </w:rPr>
        <w:t xml:space="preserve">Characterize vocal biomarker changes associated with medication effects (anticholinergics, benzodiazepines, antidepressants) to enable confounder modeling in longitudinal studies.</w:t>
      </w:r>
    </w:p>
    <w:p>
      <w:pPr>
        <w:pStyle w:val="ListParagraph"/>
        <w:numPr>
          <w:ilvl w:val="0"/>
          <w:numId w:val="2"/>
        </w:numPr>
        <w:spacing w:after="100"/>
      </w:pPr>
      <w:r>
        <w:rPr>
          <w:rFonts w:ascii="Arial" w:cs="Arial" w:eastAsia="Arial" w:hAnsi="Arial"/>
          <w:sz w:val="24"/>
          <w:szCs w:val="24"/>
        </w:rPr>
        <w:t xml:space="preserve">Partner with existing longitudinal aging cohorts (UK Biobank, ADNI, AIBL, PREVENT Dementia) to retrofit speech collection into ongoing protocols and obtain biomarker-annotated training data.</w:t>
      </w:r>
    </w:p>
    <w:p>
      <w:pPr>
        <w:spacing w:after="140"/>
      </w:pPr>
      <w:r>
        <w:t xml:space="preserve"/>
      </w:r>
    </w:p>
    <w:p>
      <w:pPr>
        <w:pStyle w:val="Heading1"/>
      </w:pPr>
      <w:r>
        <w:rPr>
          <w:rFonts w:ascii="Arial" w:cs="Arial" w:eastAsia="Arial" w:hAnsi="Arial"/>
          <w:b/>
          <w:bCs/>
        </w:rPr>
        <w:t xml:space="preserve">Section 3: Tier 2 Signals — Develop in Parallel</w:t>
      </w:r>
    </w:p>
    <w:p>
      <w:pPr>
        <w:spacing w:after="160"/>
      </w:pPr>
      <w:r>
        <w:rPr>
          <w:rFonts w:ascii="Arial" w:cs="Arial" w:eastAsia="Arial" w:hAnsi="Arial"/>
          <w:sz w:val="24"/>
          <w:szCs w:val="24"/>
        </w:rPr>
        <w:t xml:space="preserve">These signals have moderate to good clinical evidence and should be developed concurrently with Tier 1 work, ideally as additional streams within the same longitudinal cohort infrastructure. Their greatest value is in multi-modal fusion with Tier 1 signals.</w:t>
      </w:r>
    </w:p>
    <w:p>
      <w:pPr>
        <w:pStyle w:val="Heading2"/>
      </w:pPr>
      <w:r>
        <w:rPr>
          <w:rFonts w:ascii="Arial" w:cs="Arial" w:eastAsia="Arial" w:hAnsi="Arial"/>
          <w:b/>
          <w:bCs/>
        </w:rPr>
        <w:t xml:space="preserve">3.1 Circadian Rhythm Quantification</w:t>
      </w:r>
    </w:p>
    <w:p>
      <w:pPr>
        <w:spacing w:after="120"/>
      </w:pPr>
      <w:r>
        <w:rPr>
          <w:rFonts w:ascii="Arial" w:cs="Arial" w:eastAsia="Arial" w:hAnsi="Arial"/>
          <w:b/>
          <w:bCs/>
          <w:sz w:val="24"/>
          <w:szCs w:val="24"/>
        </w:rPr>
        <w:t xml:space="preserve">Evidence Basis: </w:t>
      </w:r>
      <w:r>
        <w:rPr>
          <w:rFonts w:ascii="Arial" w:cs="Arial" w:eastAsia="Arial" w:hAnsi="Arial"/>
          <w:sz w:val="24"/>
          <w:szCs w:val="24"/>
        </w:rPr>
        <w:t xml:space="preserve">Circadian disruption precedes clinical dementia by up to a decade and is mechanistically linked to amyloid and tau pathology through glymphatic clearance, neuroinflammation, and clock gene expression. The ActiGraph-based rest-activity rhythm literature is substantial. Interdaily stability (IS) and intradaily variability (IV) from actigraphy are independently associated with dementia risk in multiple cohorts.</w:t>
      </w:r>
    </w:p>
    <w:p>
      <w:pPr>
        <w:pStyle w:val="ListParagraph"/>
        <w:numPr>
          <w:ilvl w:val="0"/>
          <w:numId w:val="2"/>
        </w:numPr>
        <w:spacing w:after="100"/>
      </w:pPr>
      <w:r>
        <w:rPr>
          <w:rFonts w:ascii="Arial" w:cs="Arial" w:eastAsia="Arial" w:hAnsi="Arial"/>
          <w:sz w:val="24"/>
          <w:szCs w:val="24"/>
        </w:rPr>
        <w:t xml:space="preserve">Extract circadian metrics (IS, IV, mesor, amplitude, acrophase, relative amplitude) from passive phone accelerometry and ambient motion sensor data.</w:t>
      </w:r>
    </w:p>
    <w:p>
      <w:pPr>
        <w:pStyle w:val="ListParagraph"/>
        <w:numPr>
          <w:ilvl w:val="0"/>
          <w:numId w:val="2"/>
        </w:numPr>
        <w:spacing w:after="100"/>
      </w:pPr>
      <w:r>
        <w:rPr>
          <w:rFonts w:ascii="Arial" w:cs="Arial" w:eastAsia="Arial" w:hAnsi="Arial"/>
          <w:sz w:val="24"/>
          <w:szCs w:val="24"/>
        </w:rPr>
        <w:t xml:space="preserve">Develop methods to separate circadian disruption caused by social schedule constraints (shift work, caregiving demands) from biologically-driven circadian deterioration.</w:t>
      </w:r>
    </w:p>
    <w:p>
      <w:pPr>
        <w:pStyle w:val="ListParagraph"/>
        <w:numPr>
          <w:ilvl w:val="0"/>
          <w:numId w:val="2"/>
        </w:numPr>
        <w:spacing w:after="100"/>
      </w:pPr>
      <w:r>
        <w:rPr>
          <w:rFonts w:ascii="Arial" w:cs="Arial" w:eastAsia="Arial" w:hAnsi="Arial"/>
          <w:sz w:val="24"/>
          <w:szCs w:val="24"/>
        </w:rPr>
        <w:t xml:space="preserve">Validate light exposure from phone ambient light sensor as a circadian anchor metric and establish its relationship to measured circadian rhythm parameters.</w:t>
      </w:r>
    </w:p>
    <w:p>
      <w:pPr>
        <w:spacing w:after="140"/>
      </w:pPr>
      <w:r>
        <w:t xml:space="preserve"/>
      </w:r>
    </w:p>
    <w:p>
      <w:pPr>
        <w:pStyle w:val="Heading2"/>
      </w:pPr>
      <w:r>
        <w:rPr>
          <w:rFonts w:ascii="Arial" w:cs="Arial" w:eastAsia="Arial" w:hAnsi="Arial"/>
          <w:b/>
          <w:bCs/>
        </w:rPr>
        <w:t xml:space="preserve">3.2 Fine Motor and Touchscreen Performance</w:t>
      </w:r>
    </w:p>
    <w:p>
      <w:pPr>
        <w:spacing w:after="120"/>
      </w:pPr>
      <w:r>
        <w:rPr>
          <w:rFonts w:ascii="Arial" w:cs="Arial" w:eastAsia="Arial" w:hAnsi="Arial"/>
          <w:b/>
          <w:bCs/>
          <w:sz w:val="24"/>
          <w:szCs w:val="24"/>
        </w:rPr>
        <w:t xml:space="preserve">Evidence Basis: </w:t>
      </w:r>
      <w:r>
        <w:rPr>
          <w:rFonts w:ascii="Arial" w:cs="Arial" w:eastAsia="Arial" w:hAnsi="Arial"/>
          <w:sz w:val="24"/>
          <w:szCs w:val="24"/>
        </w:rPr>
        <w:t xml:space="preserve">Mild cognitive impairment is associated with measurable fine motor slowing and increased variability. Touchscreen interaction on smartphones produces high-frequency motor performance data requiring no additional hardware. The mPower Parkinson's study demonstrated this model's viability for neurodegenerative disease monitoring at scale. Keyboard dynamics and handwriting digitization studies have shown MCI classification AUCs of 0.70–0.80.</w:t>
      </w:r>
    </w:p>
    <w:p>
      <w:pPr>
        <w:pStyle w:val="ListParagraph"/>
        <w:numPr>
          <w:ilvl w:val="0"/>
          <w:numId w:val="2"/>
        </w:numPr>
        <w:spacing w:after="100"/>
      </w:pPr>
      <w:r>
        <w:rPr>
          <w:rFonts w:ascii="Arial" w:cs="Arial" w:eastAsia="Arial" w:hAnsi="Arial"/>
          <w:sz w:val="24"/>
          <w:szCs w:val="24"/>
        </w:rPr>
        <w:t xml:space="preserve">Develop a passive keyboard dynamics extraction pipeline for Android and iOS (with appropriate permissions) capturing inter-key timing, error rate, and backspace frequency as continuous cognitive process speed metrics.</w:t>
      </w:r>
    </w:p>
    <w:p>
      <w:pPr>
        <w:pStyle w:val="ListParagraph"/>
        <w:numPr>
          <w:ilvl w:val="0"/>
          <w:numId w:val="2"/>
        </w:numPr>
        <w:spacing w:after="100"/>
      </w:pPr>
      <w:r>
        <w:rPr>
          <w:rFonts w:ascii="Arial" w:cs="Arial" w:eastAsia="Arial" w:hAnsi="Arial"/>
          <w:sz w:val="24"/>
          <w:szCs w:val="24"/>
        </w:rPr>
        <w:t xml:space="preserve">Design brief active motor assessment tasks deliverable as phone-embedded cognitive tests: finger tapping speed and regularity, spiral drawing, reaction time, and sustained attention tasks validated against neuropsychological gold standards.</w:t>
      </w:r>
    </w:p>
    <w:p>
      <w:pPr>
        <w:pStyle w:val="ListParagraph"/>
        <w:numPr>
          <w:ilvl w:val="0"/>
          <w:numId w:val="2"/>
        </w:numPr>
        <w:spacing w:after="100"/>
      </w:pPr>
      <w:r>
        <w:rPr>
          <w:rFonts w:ascii="Arial" w:cs="Arial" w:eastAsia="Arial" w:hAnsi="Arial"/>
          <w:sz w:val="24"/>
          <w:szCs w:val="24"/>
        </w:rPr>
        <w:t xml:space="preserve">Characterize medication effects (levodopa, anticholinergics, antipsychotics) on fine motor metrics to enable confounder modeling.</w:t>
      </w:r>
    </w:p>
    <w:p>
      <w:pPr>
        <w:spacing w:after="140"/>
      </w:pPr>
      <w:r>
        <w:t xml:space="preserve"/>
      </w:r>
    </w:p>
    <w:p>
      <w:pPr>
        <w:pStyle w:val="Heading2"/>
      </w:pPr>
      <w:r>
        <w:rPr>
          <w:rFonts w:ascii="Arial" w:cs="Arial" w:eastAsia="Arial" w:hAnsi="Arial"/>
          <w:b/>
          <w:bCs/>
        </w:rPr>
        <w:t xml:space="preserve">3.3 Mobility and Location Pattern Analysis</w:t>
      </w:r>
    </w:p>
    <w:p>
      <w:pPr>
        <w:spacing w:after="120"/>
      </w:pPr>
      <w:r>
        <w:rPr>
          <w:rFonts w:ascii="Arial" w:cs="Arial" w:eastAsia="Arial" w:hAnsi="Arial"/>
          <w:b/>
          <w:bCs/>
          <w:sz w:val="24"/>
          <w:szCs w:val="24"/>
        </w:rPr>
        <w:t xml:space="preserve">Evidence Basis: </w:t>
      </w:r>
      <w:r>
        <w:rPr>
          <w:rFonts w:ascii="Arial" w:cs="Arial" w:eastAsia="Arial" w:hAnsi="Arial"/>
          <w:sz w:val="24"/>
          <w:szCs w:val="24"/>
        </w:rPr>
        <w:t xml:space="preserve">Reduced life space, decreased location diversity, and reduced daily distance traveled have been associated with MCI and dementia in GPS-tracking studies. The Life-Space Assessment has established clinical validity, and GPS-derived analogues show promise. The challenge is separating dementia-driven mobility restriction from depression, physical disability, and socioeconomic constraints.</w:t>
      </w:r>
    </w:p>
    <w:p>
      <w:pPr>
        <w:pStyle w:val="ListParagraph"/>
        <w:numPr>
          <w:ilvl w:val="0"/>
          <w:numId w:val="2"/>
        </w:numPr>
        <w:spacing w:after="100"/>
      </w:pPr>
      <w:r>
        <w:rPr>
          <w:rFonts w:ascii="Arial" w:cs="Arial" w:eastAsia="Arial" w:hAnsi="Arial"/>
          <w:sz w:val="24"/>
          <w:szCs w:val="24"/>
        </w:rPr>
        <w:t xml:space="preserve">Implement and validate a GPS-derived life space assessment producing radius of gyration, location entropy, number of distinct visited places, and time at home metrics from passive phone GPS logging.</w:t>
      </w:r>
    </w:p>
    <w:p>
      <w:pPr>
        <w:pStyle w:val="ListParagraph"/>
        <w:numPr>
          <w:ilvl w:val="0"/>
          <w:numId w:val="2"/>
        </w:numPr>
        <w:spacing w:after="100"/>
      </w:pPr>
      <w:r>
        <w:rPr>
          <w:rFonts w:ascii="Arial" w:cs="Arial" w:eastAsia="Arial" w:hAnsi="Arial"/>
          <w:sz w:val="24"/>
          <w:szCs w:val="24"/>
        </w:rPr>
        <w:t xml:space="preserve">Develop a change detection model that tracks within-individual mobility trajectory rather than comparing to population norms, enabling early detection of restriction that is individually meaningful regardless of absolute values.</w:t>
      </w:r>
    </w:p>
    <w:p>
      <w:pPr>
        <w:pStyle w:val="ListParagraph"/>
        <w:numPr>
          <w:ilvl w:val="0"/>
          <w:numId w:val="2"/>
        </w:numPr>
        <w:spacing w:after="100"/>
      </w:pPr>
      <w:r>
        <w:rPr>
          <w:rFonts w:ascii="Arial" w:cs="Arial" w:eastAsia="Arial" w:hAnsi="Arial"/>
          <w:sz w:val="24"/>
          <w:szCs w:val="24"/>
        </w:rPr>
        <w:t xml:space="preserve">Integrate weather and season correction into mobility models to separate volitional restriction from environmentally forced restriction.</w:t>
      </w:r>
    </w:p>
    <w:p>
      <w:pPr>
        <w:spacing w:after="140"/>
      </w:pPr>
      <w:r>
        <w:t xml:space="preserve"/>
      </w:r>
    </w:p>
    <w:p>
      <w:pPr>
        <w:pStyle w:val="Heading2"/>
      </w:pPr>
      <w:r>
        <w:rPr>
          <w:rFonts w:ascii="Arial" w:cs="Arial" w:eastAsia="Arial" w:hAnsi="Arial"/>
          <w:b/>
          <w:bCs/>
        </w:rPr>
        <w:t xml:space="preserve">3.4 Heart Rate Variability and Autonomic Function</w:t>
      </w:r>
    </w:p>
    <w:p>
      <w:pPr>
        <w:spacing w:after="120"/>
      </w:pPr>
      <w:r>
        <w:rPr>
          <w:rFonts w:ascii="Arial" w:cs="Arial" w:eastAsia="Arial" w:hAnsi="Arial"/>
          <w:b/>
          <w:bCs/>
          <w:sz w:val="24"/>
          <w:szCs w:val="24"/>
        </w:rPr>
        <w:t xml:space="preserve">Evidence Basis: </w:t>
      </w:r>
      <w:r>
        <w:rPr>
          <w:rFonts w:ascii="Arial" w:cs="Arial" w:eastAsia="Arial" w:hAnsi="Arial"/>
          <w:sz w:val="24"/>
          <w:szCs w:val="24"/>
        </w:rPr>
        <w:t xml:space="preserve">Autonomic nervous system dysfunction is present in early Alzheimer's disease, driven by pathology in limbic and hypothalamic circuits. Multiple studies show reduced HRV in MCI and early AD populations. The signal is measurable from consumer wearables and from phone camera (rPPG) with moderate accuracy. Its primary value is in multi-modal fusion rather than as a standalone dementia marker.</w:t>
      </w:r>
    </w:p>
    <w:p>
      <w:pPr>
        <w:pStyle w:val="ListParagraph"/>
        <w:numPr>
          <w:ilvl w:val="0"/>
          <w:numId w:val="2"/>
        </w:numPr>
        <w:spacing w:after="100"/>
      </w:pPr>
      <w:r>
        <w:rPr>
          <w:rFonts w:ascii="Arial" w:cs="Arial" w:eastAsia="Arial" w:hAnsi="Arial"/>
          <w:sz w:val="24"/>
          <w:szCs w:val="24"/>
        </w:rPr>
        <w:t xml:space="preserve">Establish normative HRV trajectories stratified by age, sex, and cardiovascular comorbidity to enable meaningful individual deviation detection.</w:t>
      </w:r>
    </w:p>
    <w:p>
      <w:pPr>
        <w:pStyle w:val="ListParagraph"/>
        <w:numPr>
          <w:ilvl w:val="0"/>
          <w:numId w:val="2"/>
        </w:numPr>
        <w:spacing w:after="100"/>
      </w:pPr>
      <w:r>
        <w:rPr>
          <w:rFonts w:ascii="Arial" w:cs="Arial" w:eastAsia="Arial" w:hAnsi="Arial"/>
          <w:sz w:val="24"/>
          <w:szCs w:val="24"/>
        </w:rPr>
        <w:t xml:space="preserve">Validate rPPG-derived HRV from phone front camera against contact PPG and ECG reference in older adult populations.</w:t>
      </w:r>
    </w:p>
    <w:p>
      <w:pPr>
        <w:pStyle w:val="ListParagraph"/>
        <w:numPr>
          <w:ilvl w:val="0"/>
          <w:numId w:val="2"/>
        </w:numPr>
        <w:spacing w:after="100"/>
      </w:pPr>
      <w:r>
        <w:rPr>
          <w:rFonts w:ascii="Arial" w:cs="Arial" w:eastAsia="Arial" w:hAnsi="Arial"/>
          <w:sz w:val="24"/>
          <w:szCs w:val="24"/>
        </w:rPr>
        <w:t xml:space="preserve">Develop a cardiovascular confound model: atrial fibrillation, hypertension, diabetes, and beta-blocker use all affect HRV independently. Clinical phenotyping of cohort participants is essential.</w:t>
      </w:r>
    </w:p>
    <w:p>
      <w:pPr>
        <w:spacing w:after="140"/>
      </w:pPr>
      <w:r>
        <w:t xml:space="preserve"/>
      </w:r>
    </w:p>
    <w:p>
      <w:pPr>
        <w:pStyle w:val="Heading1"/>
      </w:pPr>
      <w:r>
        <w:rPr>
          <w:rFonts w:ascii="Arial" w:cs="Arial" w:eastAsia="Arial" w:hAnsi="Arial"/>
          <w:b/>
          <w:bCs/>
        </w:rPr>
        <w:t xml:space="preserve">Section 4: Novel Signals — Prospective Validation Needed</w:t>
      </w:r>
    </w:p>
    <w:p>
      <w:pPr>
        <w:spacing w:after="160"/>
      </w:pPr>
      <w:r>
        <w:rPr>
          <w:rFonts w:ascii="Arial" w:cs="Arial" w:eastAsia="Arial" w:hAnsi="Arial"/>
          <w:sz w:val="24"/>
          <w:szCs w:val="24"/>
        </w:rPr>
        <w:t xml:space="preserve">The following signals represent novel hypotheses with no published clinical validation. They are priorities for prospective study design precisely because of their novelty — they represent unclaimed intellectual territory that should be in the public domain. Any team with access to a longitudinal cohort should instrument for these signals now, even if analysis is deferred.</w:t>
      </w:r>
    </w:p>
    <w:p>
      <w:pPr>
        <w:pStyle w:val="Heading2"/>
      </w:pPr>
      <w:r>
        <w:rPr>
          <w:rFonts w:ascii="Arial" w:cs="Arial" w:eastAsia="Arial" w:hAnsi="Arial"/>
          <w:b/>
          <w:bCs/>
        </w:rPr>
        <w:t xml:space="preserve">4.1 Device Interaction Latency as Cognitive Speed Metric</w:t>
      </w:r>
    </w:p>
    <w:p>
      <w:pPr>
        <w:spacing w:after="120"/>
      </w:pPr>
      <w:r>
        <w:rPr>
          <w:rFonts w:ascii="Arial" w:cs="Arial" w:eastAsia="Arial" w:hAnsi="Arial"/>
          <w:b/>
          <w:bCs/>
          <w:sz w:val="24"/>
          <w:szCs w:val="24"/>
        </w:rPr>
        <w:t xml:space="preserve">Hypothesis: </w:t>
      </w:r>
      <w:r>
        <w:rPr>
          <w:rFonts w:ascii="Arial" w:cs="Arial" w:eastAsia="Arial" w:hAnsi="Arial"/>
          <w:sz w:val="24"/>
          <w:szCs w:val="24"/>
        </w:rPr>
        <w:t xml:space="preserve">The time elapsed between a device prompt and user response — wake word to speech onset on smart speakers, notification arrival to first tap on smartphones, doorbell event to door answer — constitutes a continuous ecologically valid measure of psychomotor speed and cognitive arousal. Psychomotor slowing is one of the most robust and earliest features of cognitive decline. Unlike laboratory reaction time tests, ambient device interaction latency is collected continuously and passively across thousands of daily interactions, potentially offering unprecedented temporal resolution of cognitive speed trajectory.</w:t>
      </w:r>
    </w:p>
    <w:p>
      <w:pPr>
        <w:spacing w:after="120"/>
      </w:pPr>
      <w:r>
        <w:rPr>
          <w:rFonts w:ascii="Arial" w:cs="Arial" w:eastAsia="Arial" w:hAnsi="Arial"/>
          <w:b/>
          <w:bCs/>
          <w:sz w:val="24"/>
          <w:szCs w:val="24"/>
        </w:rPr>
        <w:t xml:space="preserve">Proposed Validation Design: </w:t>
      </w:r>
      <w:r>
        <w:rPr>
          <w:rFonts w:ascii="Arial" w:cs="Arial" w:eastAsia="Arial" w:hAnsi="Arial"/>
          <w:sz w:val="24"/>
          <w:szCs w:val="24"/>
        </w:rPr>
        <w:t xml:space="preserve">Instrument a longitudinal MCI cohort with: (1) smart speakers in the home logging wake-word-to-utterance latency; (2) smartphone notification response latency; (3) smart doorbell response latency. Correlate latency trajectories with annual neuropsychological assessment and available biomarkers. Primary hypothesis: latency increases precede or co-occur with measurable neuropsychological decline. Secondary hypothesis: day-to-day latency variance is an independent predictor of conversion.</w:t>
      </w:r>
    </w:p>
    <w:p>
      <w:pPr>
        <w:pStyle w:val="ListParagraph"/>
        <w:numPr>
          <w:ilvl w:val="0"/>
          <w:numId w:val="2"/>
        </w:numPr>
        <w:spacing w:after="100"/>
      </w:pPr>
      <w:r>
        <w:rPr>
          <w:rFonts w:ascii="Arial" w:cs="Arial" w:eastAsia="Arial" w:hAnsi="Arial"/>
          <w:sz w:val="24"/>
          <w:szCs w:val="24"/>
        </w:rPr>
        <w:t xml:space="preserve">Develop instrumentation and logging infrastructure for each device type that captures interaction latency without content, with millisecond precision.</w:t>
      </w:r>
    </w:p>
    <w:p>
      <w:pPr>
        <w:pStyle w:val="ListParagraph"/>
        <w:numPr>
          <w:ilvl w:val="0"/>
          <w:numId w:val="2"/>
        </w:numPr>
        <w:spacing w:after="100"/>
      </w:pPr>
      <w:r>
        <w:rPr>
          <w:rFonts w:ascii="Arial" w:cs="Arial" w:eastAsia="Arial" w:hAnsi="Arial"/>
          <w:sz w:val="24"/>
          <w:szCs w:val="24"/>
        </w:rPr>
        <w:t xml:space="preserve">Characterize task-specific latency baselines: some queries are inherently slower (complex requests) versus simple. Develop query complexity normalization.</w:t>
      </w:r>
    </w:p>
    <w:p>
      <w:pPr>
        <w:pStyle w:val="ListParagraph"/>
        <w:numPr>
          <w:ilvl w:val="0"/>
          <w:numId w:val="2"/>
        </w:numPr>
        <w:spacing w:after="100"/>
      </w:pPr>
      <w:r>
        <w:rPr>
          <w:rFonts w:ascii="Arial" w:cs="Arial" w:eastAsia="Arial" w:hAnsi="Arial"/>
          <w:sz w:val="24"/>
          <w:szCs w:val="24"/>
        </w:rPr>
        <w:t xml:space="preserve">Establish test-retest reliability of daily mean latency metrics within cognitively stable individuals over 3–6 month intervals.</w:t>
      </w:r>
    </w:p>
    <w:p>
      <w:pPr>
        <w:pStyle w:val="ListParagraph"/>
        <w:numPr>
          <w:ilvl w:val="0"/>
          <w:numId w:val="2"/>
        </w:numPr>
        <w:spacing w:after="100"/>
      </w:pPr>
      <w:r>
        <w:rPr>
          <w:rFonts w:ascii="Arial" w:cs="Arial" w:eastAsia="Arial" w:hAnsi="Arial"/>
          <w:sz w:val="24"/>
          <w:szCs w:val="24"/>
        </w:rPr>
        <w:t xml:space="preserve">Design and pre-register a prospective validation study before collecting data to establish this signal as evidence-based prior art.</w:t>
      </w:r>
    </w:p>
    <w:p>
      <w:pPr>
        <w:spacing w:after="140"/>
      </w:pPr>
      <w:r>
        <w:t xml:space="preserve"/>
      </w:r>
    </w:p>
    <w:p>
      <w:pPr>
        <w:pStyle w:val="Heading2"/>
      </w:pPr>
      <w:r>
        <w:rPr>
          <w:rFonts w:ascii="Arial" w:cs="Arial" w:eastAsia="Arial" w:hAnsi="Arial"/>
          <w:b/>
          <w:bCs/>
        </w:rPr>
        <w:t xml:space="preserve">4.2 Smart Home Routine Disruption Index</w:t>
      </w:r>
    </w:p>
    <w:p>
      <w:pPr>
        <w:spacing w:after="120"/>
      </w:pPr>
      <w:r>
        <w:rPr>
          <w:rFonts w:ascii="Arial" w:cs="Arial" w:eastAsia="Arial" w:hAnsi="Arial"/>
          <w:b/>
          <w:bCs/>
          <w:sz w:val="24"/>
          <w:szCs w:val="24"/>
        </w:rPr>
        <w:t xml:space="preserve">Hypothesis: </w:t>
      </w:r>
      <w:r>
        <w:rPr>
          <w:rFonts w:ascii="Arial" w:cs="Arial" w:eastAsia="Arial" w:hAnsi="Arial"/>
          <w:sz w:val="24"/>
          <w:szCs w:val="24"/>
        </w:rPr>
        <w:t xml:space="preserve">The regularity and consistency of daily behavioral routines — quantified across all smart home devices simultaneously — constitutes a composite behavioral biomarker of executive function and habitual memory. A sudden or gradual disruption to the daily behavioral routine signature, detected across the full device ecosystem rather than any single device, may detect cognitive decline earlier than any individual signal. The composite nature of this index is its strength: it integrates evidence across independent sensors, reducing noise.</w:t>
      </w:r>
    </w:p>
    <w:p>
      <w:pPr>
        <w:spacing w:after="120"/>
      </w:pPr>
      <w:r>
        <w:rPr>
          <w:rFonts w:ascii="Arial" w:cs="Arial" w:eastAsia="Arial" w:hAnsi="Arial"/>
          <w:b/>
          <w:bCs/>
          <w:sz w:val="24"/>
          <w:szCs w:val="24"/>
        </w:rPr>
        <w:t xml:space="preserve">Proposed Signal Construction: </w:t>
      </w:r>
      <w:r>
        <w:rPr>
          <w:rFonts w:ascii="Arial" w:cs="Arial" w:eastAsia="Arial" w:hAnsi="Arial"/>
          <w:sz w:val="24"/>
          <w:szCs w:val="24"/>
        </w:rPr>
        <w:t xml:space="preserve">Define the Routine Disruption Index (RDI) as the Kullback-Leibler divergence between the current week's behavioral distribution (across all instrumented devices) and a rolling 90-day baseline distribution for the same individual. Compute daily. Track trajectory over time.</w:t>
      </w:r>
    </w:p>
    <w:p>
      <w:pPr>
        <w:pStyle w:val="ListParagraph"/>
        <w:numPr>
          <w:ilvl w:val="0"/>
          <w:numId w:val="2"/>
        </w:numPr>
        <w:spacing w:after="100"/>
      </w:pPr>
      <w:r>
        <w:rPr>
          <w:rFonts w:ascii="Arial" w:cs="Arial" w:eastAsia="Arial" w:hAnsi="Arial"/>
          <w:sz w:val="24"/>
          <w:szCs w:val="24"/>
        </w:rPr>
        <w:t xml:space="preserve">Develop open-source software for computing RDI from heterogeneous smart home device logs.</w:t>
      </w:r>
    </w:p>
    <w:p>
      <w:pPr>
        <w:pStyle w:val="ListParagraph"/>
        <w:numPr>
          <w:ilvl w:val="0"/>
          <w:numId w:val="2"/>
        </w:numPr>
        <w:spacing w:after="100"/>
      </w:pPr>
      <w:r>
        <w:rPr>
          <w:rFonts w:ascii="Arial" w:cs="Arial" w:eastAsia="Arial" w:hAnsi="Arial"/>
          <w:sz w:val="24"/>
          <w:szCs w:val="24"/>
        </w:rPr>
        <w:t xml:space="preserve">Establish test-retest reliability of RDI in cognitively stable individuals.</w:t>
      </w:r>
    </w:p>
    <w:p>
      <w:pPr>
        <w:pStyle w:val="ListParagraph"/>
        <w:numPr>
          <w:ilvl w:val="0"/>
          <w:numId w:val="2"/>
        </w:numPr>
        <w:spacing w:after="100"/>
      </w:pPr>
      <w:r>
        <w:rPr>
          <w:rFonts w:ascii="Arial" w:cs="Arial" w:eastAsia="Arial" w:hAnsi="Arial"/>
          <w:sz w:val="24"/>
          <w:szCs w:val="24"/>
        </w:rPr>
        <w:t xml:space="preserve">Test sensitivity of RDI to known confounders: travel, illness, seasonal change, household composition changes.</w:t>
      </w:r>
    </w:p>
    <w:p>
      <w:pPr>
        <w:pStyle w:val="ListParagraph"/>
        <w:numPr>
          <w:ilvl w:val="0"/>
          <w:numId w:val="2"/>
        </w:numPr>
        <w:spacing w:after="100"/>
      </w:pPr>
      <w:r>
        <w:rPr>
          <w:rFonts w:ascii="Arial" w:cs="Arial" w:eastAsia="Arial" w:hAnsi="Arial"/>
          <w:sz w:val="24"/>
          <w:szCs w:val="24"/>
        </w:rPr>
        <w:t xml:space="preserve">Design prospective validation study correlating RDI trajectory with neuropsychological assessment in a memory clinic cohort.</w:t>
      </w:r>
    </w:p>
    <w:p>
      <w:pPr>
        <w:spacing w:after="140"/>
      </w:pPr>
      <w:r>
        <w:t xml:space="preserve"/>
      </w:r>
    </w:p>
    <w:p>
      <w:pPr>
        <w:pStyle w:val="Heading1"/>
      </w:pPr>
      <w:r>
        <w:rPr>
          <w:rFonts w:ascii="Arial" w:cs="Arial" w:eastAsia="Arial" w:hAnsi="Arial"/>
          <w:b/>
          <w:bCs/>
        </w:rPr>
        <w:t xml:space="preserve">Section 5: Data Strategy and Cohort Infrastructure</w:t>
      </w:r>
    </w:p>
    <w:p>
      <w:pPr>
        <w:pStyle w:val="Heading2"/>
      </w:pPr>
      <w:r>
        <w:rPr>
          <w:rFonts w:ascii="Arial" w:cs="Arial" w:eastAsia="Arial" w:hAnsi="Arial"/>
          <w:b/>
          <w:bCs/>
        </w:rPr>
        <w:t xml:space="preserve">5.1 The Ground Truth Problem</w:t>
      </w:r>
    </w:p>
    <w:p>
      <w:pPr>
        <w:spacing w:after="160"/>
      </w:pPr>
      <w:r>
        <w:rPr>
          <w:rFonts w:ascii="Arial" w:cs="Arial" w:eastAsia="Arial" w:hAnsi="Arial"/>
          <w:sz w:val="24"/>
          <w:szCs w:val="24"/>
        </w:rPr>
        <w:t xml:space="preserve">The single largest barrier to progress in this field is labeled training data. Existing longitudinal dementia cohorts (ADNI, UK Biobank, AIBL, NACC, PREVENT Dementia, EPAD) were not designed for passive sensor data collection. They have gold-standard cognitive and biomarker assessments but minimal continuously collected behavioral data. Conversely, large passive sensor datasets (Apple Heart Study, UK Biobank accelerometry) lack deep clinical phenotyping. Bridging this gap is the field's most urgent infrastructure need.</w:t>
      </w:r>
    </w:p>
    <w:p>
      <w:pPr>
        <w:pStyle w:val="Heading2"/>
      </w:pPr>
      <w:r>
        <w:rPr>
          <w:rFonts w:ascii="Arial" w:cs="Arial" w:eastAsia="Arial" w:hAnsi="Arial"/>
          <w:b/>
          <w:bCs/>
        </w:rPr>
        <w:t xml:space="preserve">5.2 Recommended Cohort Design</w:t>
      </w:r>
    </w:p>
    <w:p>
      <w:pPr>
        <w:pStyle w:val="ListParagraph"/>
        <w:numPr>
          <w:ilvl w:val="0"/>
          <w:numId w:val="2"/>
        </w:numPr>
        <w:spacing w:after="100"/>
      </w:pPr>
      <w:r>
        <w:rPr>
          <w:rFonts w:ascii="Arial" w:cs="Arial" w:eastAsia="Arial" w:hAnsi="Arial"/>
          <w:sz w:val="24"/>
          <w:szCs w:val="24"/>
        </w:rPr>
        <w:t xml:space="preserve">Enrich existing memory clinic populations: partner with clinical sites performing ADNI-equivalent assessments (neuropsychological battery, MRI, PET, CSF or blood biomarkers) and deploy passive monitoring infrastructure in participants' homes. This provides clinical-grade ground truth at the cost of smaller sample sizes.</w:t>
      </w:r>
    </w:p>
    <w:p>
      <w:pPr>
        <w:pStyle w:val="ListParagraph"/>
        <w:numPr>
          <w:ilvl w:val="0"/>
          <w:numId w:val="2"/>
        </w:numPr>
        <w:spacing w:after="100"/>
      </w:pPr>
      <w:r>
        <w:rPr>
          <w:rFonts w:ascii="Arial" w:cs="Arial" w:eastAsia="Arial" w:hAnsi="Arial"/>
          <w:sz w:val="24"/>
          <w:szCs w:val="24"/>
        </w:rPr>
        <w:t xml:space="preserve">Embed passive monitoring in large epidemiological cohorts: negotiate passive smartphone and home sensor data collection as an optional module within existing large cohorts. Sacrifices depth of clinical assessment for scale.</w:t>
      </w:r>
    </w:p>
    <w:p>
      <w:pPr>
        <w:pStyle w:val="ListParagraph"/>
        <w:numPr>
          <w:ilvl w:val="0"/>
          <w:numId w:val="2"/>
        </w:numPr>
        <w:spacing w:after="100"/>
      </w:pPr>
      <w:r>
        <w:rPr>
          <w:rFonts w:ascii="Arial" w:cs="Arial" w:eastAsia="Arial" w:hAnsi="Arial"/>
          <w:sz w:val="24"/>
          <w:szCs w:val="24"/>
        </w:rPr>
        <w:t xml:space="preserve">Digital clinical trial enrichment: instrument all participants in MCI-to-dementia intervention trials with the full sensor suite. This provides longitudinal data with frequent clinical assessments and a natural comparison between declining and stable individuals.</w:t>
      </w:r>
    </w:p>
    <w:p>
      <w:pPr>
        <w:pStyle w:val="ListParagraph"/>
        <w:numPr>
          <w:ilvl w:val="0"/>
          <w:numId w:val="2"/>
        </w:numPr>
        <w:spacing w:after="100"/>
      </w:pPr>
      <w:r>
        <w:rPr>
          <w:rFonts w:ascii="Arial" w:cs="Arial" w:eastAsia="Arial" w:hAnsi="Arial"/>
          <w:sz w:val="24"/>
          <w:szCs w:val="24"/>
        </w:rPr>
        <w:t xml:space="preserve">Target minimum cohort parameters: N &gt; 300 with MCI at enrollment, annual neuropsychological assessment, 18-month minimum follow-up, 20–30% expected conversion rate, biomarker confirmation in a subsample (minimum N = 100 amyloid PET or CSF).</w:t>
      </w:r>
    </w:p>
    <w:p>
      <w:pPr>
        <w:spacing w:after="140"/>
      </w:pPr>
      <w:r>
        <w:t xml:space="preserve"/>
      </w:r>
    </w:p>
    <w:p>
      <w:pPr>
        <w:pStyle w:val="Heading2"/>
      </w:pPr>
      <w:r>
        <w:rPr>
          <w:rFonts w:ascii="Arial" w:cs="Arial" w:eastAsia="Arial" w:hAnsi="Arial"/>
          <w:b/>
          <w:bCs/>
        </w:rPr>
        <w:t xml:space="preserve">5.3 Recommended Open Datasets to Exploit Immediately</w:t>
      </w:r>
    </w:p>
    <w:p>
      <w:pPr>
        <w:pStyle w:val="ListParagraph"/>
        <w:numPr>
          <w:ilvl w:val="0"/>
          <w:numId w:val="2"/>
        </w:numPr>
        <w:spacing w:after="100"/>
      </w:pPr>
      <w:r>
        <w:rPr>
          <w:rFonts w:ascii="Arial" w:cs="Arial" w:eastAsia="Arial" w:hAnsi="Arial"/>
          <w:sz w:val="24"/>
          <w:szCs w:val="24"/>
        </w:rPr>
        <w:t xml:space="preserve">DementiaBank Pitt Corpus: speech samples from dementia and control participants with neuropsychological scores. Freely available for research. Primary resource for speech biomarker development.</w:t>
      </w:r>
    </w:p>
    <w:p>
      <w:pPr>
        <w:pStyle w:val="ListParagraph"/>
        <w:numPr>
          <w:ilvl w:val="0"/>
          <w:numId w:val="2"/>
        </w:numPr>
        <w:spacing w:after="100"/>
      </w:pPr>
      <w:r>
        <w:rPr>
          <w:rFonts w:ascii="Arial" w:cs="Arial" w:eastAsia="Arial" w:hAnsi="Arial"/>
          <w:sz w:val="24"/>
          <w:szCs w:val="24"/>
        </w:rPr>
        <w:t xml:space="preserve">ADNI (Alzheimer's Disease Neuroimaging Initiative): comprehensive longitudinal cognitive, imaging, and biomarker data. No passive sensor data but gold-standard labels for model validation.</w:t>
      </w:r>
    </w:p>
    <w:p>
      <w:pPr>
        <w:pStyle w:val="ListParagraph"/>
        <w:numPr>
          <w:ilvl w:val="0"/>
          <w:numId w:val="2"/>
        </w:numPr>
        <w:spacing w:after="100"/>
      </w:pPr>
      <w:r>
        <w:rPr>
          <w:rFonts w:ascii="Arial" w:cs="Arial" w:eastAsia="Arial" w:hAnsi="Arial"/>
          <w:sz w:val="24"/>
          <w:szCs w:val="24"/>
        </w:rPr>
        <w:t xml:space="preserve">UK Biobank accelerometry data: wrist accelerometry from 100,000+ participants with linked health records. Circadian and sleep metrics extractable. Limited cognitive phenotyping.</w:t>
      </w:r>
    </w:p>
    <w:p>
      <w:pPr>
        <w:pStyle w:val="ListParagraph"/>
        <w:numPr>
          <w:ilvl w:val="0"/>
          <w:numId w:val="2"/>
        </w:numPr>
        <w:spacing w:after="100"/>
      </w:pPr>
      <w:r>
        <w:rPr>
          <w:rFonts w:ascii="Arial" w:cs="Arial" w:eastAsia="Arial" w:hAnsi="Arial"/>
          <w:sz w:val="24"/>
          <w:szCs w:val="24"/>
        </w:rPr>
        <w:t xml:space="preserve">PREVENT Dementia cohort (UK): midlife dementia prevention study with detailed cognitive assessment and biomarkers. Passive monitoring expansion is a natural fit.</w:t>
      </w:r>
    </w:p>
    <w:p>
      <w:pPr>
        <w:pStyle w:val="ListParagraph"/>
        <w:numPr>
          <w:ilvl w:val="0"/>
          <w:numId w:val="2"/>
        </w:numPr>
        <w:spacing w:after="100"/>
      </w:pPr>
      <w:r>
        <w:rPr>
          <w:rFonts w:ascii="Arial" w:cs="Arial" w:eastAsia="Arial" w:hAnsi="Arial"/>
          <w:sz w:val="24"/>
          <w:szCs w:val="24"/>
        </w:rPr>
        <w:t xml:space="preserve">PhysioNet repositories: physiological signal databases including some dementia-relevant datasets.</w:t>
      </w:r>
    </w:p>
    <w:p>
      <w:pPr>
        <w:pStyle w:val="ListParagraph"/>
        <w:numPr>
          <w:ilvl w:val="0"/>
          <w:numId w:val="2"/>
        </w:numPr>
        <w:spacing w:after="100"/>
      </w:pPr>
      <w:r>
        <w:rPr>
          <w:rFonts w:ascii="Arial" w:cs="Arial" w:eastAsia="Arial" w:hAnsi="Arial"/>
          <w:sz w:val="24"/>
          <w:szCs w:val="24"/>
        </w:rPr>
        <w:t xml:space="preserve">The TIHM (Technology Integrated Health Management) dataset: passive in-home sensor data from dementia patients. One of the few datasets directly relevant to ambient sensing for dementia.</w:t>
      </w:r>
    </w:p>
    <w:p>
      <w:pPr>
        <w:spacing w:after="140"/>
      </w:pPr>
      <w:r>
        <w:t xml:space="preserve"/>
      </w:r>
    </w:p>
    <w:p>
      <w:pPr>
        <w:pStyle w:val="Heading1"/>
      </w:pPr>
      <w:r>
        <w:rPr>
          <w:rFonts w:ascii="Arial" w:cs="Arial" w:eastAsia="Arial" w:hAnsi="Arial"/>
          <w:b/>
          <w:bCs/>
        </w:rPr>
        <w:t xml:space="preserve">Section 6: Recommended Model Architecture Roadmap</w:t>
      </w:r>
    </w:p>
    <w:p>
      <w:pPr>
        <w:pStyle w:val="Heading2"/>
      </w:pPr>
      <w:r>
        <w:rPr>
          <w:rFonts w:ascii="Arial" w:cs="Arial" w:eastAsia="Arial" w:hAnsi="Arial"/>
          <w:b/>
          <w:bCs/>
        </w:rPr>
        <w:t xml:space="preserve">6.1 Phase 1 — Unimodal Baselines (Months 0–12)</w:t>
      </w:r>
    </w:p>
    <w:p>
      <w:pPr>
        <w:spacing w:after="160"/>
      </w:pPr>
      <w:r>
        <w:rPr>
          <w:rFonts w:ascii="Arial" w:cs="Arial" w:eastAsia="Arial" w:hAnsi="Arial"/>
          <w:sz w:val="24"/>
          <w:szCs w:val="24"/>
        </w:rPr>
        <w:t xml:space="preserve">Before fusion, establish rigorous unimodal baselines for each Tier 1 signal independently. This serves two purposes: it establishes the incremental value of fusion (which requires knowing single-modality performance), and it produces clinically interpretable single-signal models that can be deployed and validated earlier than complex fusion models.</w:t>
      </w:r>
    </w:p>
    <w:p>
      <w:pPr>
        <w:pStyle w:val="ListParagraph"/>
        <w:numPr>
          <w:ilvl w:val="0"/>
          <w:numId w:val="2"/>
        </w:numPr>
        <w:spacing w:after="100"/>
      </w:pPr>
      <w:r>
        <w:rPr>
          <w:rFonts w:ascii="Arial" w:cs="Arial" w:eastAsia="Arial" w:hAnsi="Arial"/>
          <w:sz w:val="24"/>
          <w:szCs w:val="24"/>
        </w:rPr>
        <w:t xml:space="preserve">Train and validate gait-only, sleep-only, and speech-only classifiers for MCI vs. cognitively normal classification using existing datasets.</w:t>
      </w:r>
    </w:p>
    <w:p>
      <w:pPr>
        <w:pStyle w:val="ListParagraph"/>
        <w:numPr>
          <w:ilvl w:val="0"/>
          <w:numId w:val="2"/>
        </w:numPr>
        <w:spacing w:after="100"/>
      </w:pPr>
      <w:r>
        <w:rPr>
          <w:rFonts w:ascii="Arial" w:cs="Arial" w:eastAsia="Arial" w:hAnsi="Arial"/>
          <w:sz w:val="24"/>
          <w:szCs w:val="24"/>
        </w:rPr>
        <w:t xml:space="preserve">Use simple, interpretable architectures first (logistic regression, random forest, gradient boosting on hand-crafted features) before adding deep learning complexity.</w:t>
      </w:r>
    </w:p>
    <w:p>
      <w:pPr>
        <w:pStyle w:val="ListParagraph"/>
        <w:numPr>
          <w:ilvl w:val="0"/>
          <w:numId w:val="2"/>
        </w:numPr>
        <w:spacing w:after="100"/>
      </w:pPr>
      <w:r>
        <w:rPr>
          <w:rFonts w:ascii="Arial" w:cs="Arial" w:eastAsia="Arial" w:hAnsi="Arial"/>
          <w:sz w:val="24"/>
          <w:szCs w:val="24"/>
        </w:rPr>
        <w:t xml:space="preserve">Establish AUC, sensitivity, specificity, and calibration for each unimodal classifier with appropriate cross-validation strategy (ideally site-stratified or participant-stratified).</w:t>
      </w:r>
    </w:p>
    <w:p>
      <w:pPr>
        <w:spacing w:after="140"/>
      </w:pPr>
      <w:r>
        <w:t xml:space="preserve"/>
      </w:r>
    </w:p>
    <w:p>
      <w:pPr>
        <w:pStyle w:val="Heading2"/>
      </w:pPr>
      <w:r>
        <w:rPr>
          <w:rFonts w:ascii="Arial" w:cs="Arial" w:eastAsia="Arial" w:hAnsi="Arial"/>
          <w:b/>
          <w:bCs/>
        </w:rPr>
        <w:t xml:space="preserve">6.2 Phase 2 — Multi-Modal Fusion (Months 6–24)</w:t>
      </w:r>
    </w:p>
    <w:p>
      <w:pPr>
        <w:pStyle w:val="ListParagraph"/>
        <w:numPr>
          <w:ilvl w:val="0"/>
          <w:numId w:val="2"/>
        </w:numPr>
        <w:spacing w:after="100"/>
      </w:pPr>
      <w:r>
        <w:rPr>
          <w:rFonts w:ascii="Arial" w:cs="Arial" w:eastAsia="Arial" w:hAnsi="Arial"/>
          <w:sz w:val="24"/>
          <w:szCs w:val="24"/>
        </w:rPr>
        <w:t xml:space="preserve">Early fusion: concatenate features from all modalities into a single feature vector. Establishes fusion upper bound under complete data assumption.</w:t>
      </w:r>
    </w:p>
    <w:p>
      <w:pPr>
        <w:pStyle w:val="ListParagraph"/>
        <w:numPr>
          <w:ilvl w:val="0"/>
          <w:numId w:val="2"/>
        </w:numPr>
        <w:spacing w:after="100"/>
      </w:pPr>
      <w:r>
        <w:rPr>
          <w:rFonts w:ascii="Arial" w:cs="Arial" w:eastAsia="Arial" w:hAnsi="Arial"/>
          <w:sz w:val="24"/>
          <w:szCs w:val="24"/>
        </w:rPr>
        <w:t xml:space="preserve">Late fusion: train independent modality-specific models and combine their output probabilities. More robust to missing modalities in deployment.</w:t>
      </w:r>
    </w:p>
    <w:p>
      <w:pPr>
        <w:pStyle w:val="ListParagraph"/>
        <w:numPr>
          <w:ilvl w:val="0"/>
          <w:numId w:val="2"/>
        </w:numPr>
        <w:spacing w:after="100"/>
      </w:pPr>
      <w:r>
        <w:rPr>
          <w:rFonts w:ascii="Arial" w:cs="Arial" w:eastAsia="Arial" w:hAnsi="Arial"/>
          <w:sz w:val="24"/>
          <w:szCs w:val="24"/>
        </w:rPr>
        <w:t xml:space="preserve">Attention-based fusion: transformer encoder over multi-modal feature sequences, allowing the model to weight modalities dynamically based on data quality and context.</w:t>
      </w:r>
    </w:p>
    <w:p>
      <w:pPr>
        <w:pStyle w:val="ListParagraph"/>
        <w:numPr>
          <w:ilvl w:val="0"/>
          <w:numId w:val="2"/>
        </w:numPr>
        <w:spacing w:after="100"/>
      </w:pPr>
      <w:r>
        <w:rPr>
          <w:rFonts w:ascii="Arial" w:cs="Arial" w:eastAsia="Arial" w:hAnsi="Arial"/>
          <w:sz w:val="24"/>
          <w:szCs w:val="24"/>
        </w:rPr>
        <w:t xml:space="preserve">Missing modality handling: design fusion architectures that degrade gracefully when one or more sensor streams are unavailable (device not owned, permissions not granted, data quality insufficient).</w:t>
      </w:r>
    </w:p>
    <w:p>
      <w:pPr>
        <w:spacing w:after="140"/>
      </w:pPr>
      <w:r>
        <w:t xml:space="preserve"/>
      </w:r>
    </w:p>
    <w:p>
      <w:pPr>
        <w:pStyle w:val="Heading2"/>
      </w:pPr>
      <w:r>
        <w:rPr>
          <w:rFonts w:ascii="Arial" w:cs="Arial" w:eastAsia="Arial" w:hAnsi="Arial"/>
          <w:b/>
          <w:bCs/>
        </w:rPr>
        <w:t xml:space="preserve">6.3 Phase 3 — Longitudinal Trajectory Modeling (Months 12–36)</w:t>
      </w:r>
    </w:p>
    <w:p>
      <w:pPr>
        <w:pStyle w:val="ListParagraph"/>
        <w:numPr>
          <w:ilvl w:val="0"/>
          <w:numId w:val="2"/>
        </w:numPr>
        <w:spacing w:after="100"/>
      </w:pPr>
      <w:r>
        <w:rPr>
          <w:rFonts w:ascii="Arial" w:cs="Arial" w:eastAsia="Arial" w:hAnsi="Arial"/>
          <w:sz w:val="24"/>
          <w:szCs w:val="24"/>
        </w:rPr>
        <w:t xml:space="preserve">Shift from cross-sectional classification (MCI vs. normal at a point in time) to longitudinal trajectory modeling (predicting conversion from current trajectory).</w:t>
      </w:r>
    </w:p>
    <w:p>
      <w:pPr>
        <w:pStyle w:val="ListParagraph"/>
        <w:numPr>
          <w:ilvl w:val="0"/>
          <w:numId w:val="2"/>
        </w:numPr>
        <w:spacing w:after="100"/>
      </w:pPr>
      <w:r>
        <w:rPr>
          <w:rFonts w:ascii="Arial" w:cs="Arial" w:eastAsia="Arial" w:hAnsi="Arial"/>
          <w:sz w:val="24"/>
          <w:szCs w:val="24"/>
        </w:rPr>
        <w:t xml:space="preserve">State space models or Gaussian process regression over multi-modal feature time series to model continuous cognitive trajectory and predict future assessment scores.</w:t>
      </w:r>
    </w:p>
    <w:p>
      <w:pPr>
        <w:pStyle w:val="ListParagraph"/>
        <w:numPr>
          <w:ilvl w:val="0"/>
          <w:numId w:val="2"/>
        </w:numPr>
        <w:spacing w:after="100"/>
      </w:pPr>
      <w:r>
        <w:rPr>
          <w:rFonts w:ascii="Arial" w:cs="Arial" w:eastAsia="Arial" w:hAnsi="Arial"/>
          <w:sz w:val="24"/>
          <w:szCs w:val="24"/>
        </w:rPr>
        <w:t xml:space="preserve">Uncertainty quantification: all clinical predictions must include calibrated confidence intervals. Bayesian deep learning or conformal prediction methods appropriate.</w:t>
      </w:r>
    </w:p>
    <w:p>
      <w:pPr>
        <w:pStyle w:val="ListParagraph"/>
        <w:numPr>
          <w:ilvl w:val="0"/>
          <w:numId w:val="2"/>
        </w:numPr>
        <w:spacing w:after="100"/>
      </w:pPr>
      <w:r>
        <w:rPr>
          <w:rFonts w:ascii="Arial" w:cs="Arial" w:eastAsia="Arial" w:hAnsi="Arial"/>
          <w:sz w:val="24"/>
          <w:szCs w:val="24"/>
        </w:rPr>
        <w:t xml:space="preserve">Personalized drift detection: for deployed systems, the clinically relevant question is not 'does this person have MCI?' but 'has this person changed significantly from their own baseline?' Design models accordingly.</w:t>
      </w:r>
    </w:p>
    <w:p>
      <w:pPr>
        <w:spacing w:after="140"/>
      </w:pPr>
      <w:r>
        <w:t xml:space="preserve"/>
      </w:r>
    </w:p>
    <w:p>
      <w:pPr>
        <w:pStyle w:val="Heading1"/>
      </w:pPr>
      <w:r>
        <w:rPr>
          <w:rFonts w:ascii="Arial" w:cs="Arial" w:eastAsia="Arial" w:hAnsi="Arial"/>
          <w:b/>
          <w:bCs/>
        </w:rPr>
        <w:t xml:space="preserve">Section 7: Clinical Validation and Translation Roadmap</w:t>
      </w:r>
    </w:p>
    <w:p>
      <w:pPr>
        <w:pStyle w:val="Heading2"/>
      </w:pPr>
      <w:r>
        <w:rPr>
          <w:rFonts w:ascii="Arial" w:cs="Arial" w:eastAsia="Arial" w:hAnsi="Arial"/>
          <w:b/>
          <w:bCs/>
        </w:rPr>
        <w:t xml:space="preserve">7.1 Validation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1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Success Criteria</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extraction pipeline validation against gold standard instruments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ICC &gt; 0.80 for primary features vs. clinical reference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0–6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Cross-sectional MCI classification from each Tier 1 signal independently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&gt; 0.75 each; sensitivity &gt; 0.70 at 90% specificity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6–18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fusion classifier, cross-sectional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&gt; 0.85; improvement over best single modality p &lt; 0.05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12–24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Longitudinal prediction: conversion from normal to MCI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&gt; 0.75 for 24-month conversion prediction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24–48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Prospective validation in independent cohort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results replicated in held-out site or geographic region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36–60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utility study: does monitoring change clinical outcomes?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Earlier clinical referral, treatment initiation, or family planning in monitored vs. unmonitored arms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48–72</w:t>
            </w:r>
          </w:p>
        </w:tc>
      </w:tr>
    </w:tbl>
    <w:p>
      <w:pPr>
        <w:spacing w:after="140"/>
      </w:pPr>
      <w:r>
        <w:t xml:space="preserve"/>
      </w:r>
    </w:p>
    <w:p>
      <w:pPr>
        <w:pStyle w:val="Heading2"/>
      </w:pPr>
      <w:r>
        <w:rPr>
          <w:rFonts w:ascii="Arial" w:cs="Arial" w:eastAsia="Arial" w:hAnsi="Arial"/>
          <w:b/>
          <w:bCs/>
        </w:rPr>
        <w:t xml:space="preserve">7.2 Regulatory Pathway Considerations</w:t>
      </w:r>
    </w:p>
    <w:p>
      <w:pPr>
        <w:pStyle w:val="ListParagraph"/>
        <w:numPr>
          <w:ilvl w:val="0"/>
          <w:numId w:val="2"/>
        </w:numPr>
        <w:spacing w:after="100"/>
      </w:pPr>
      <w:r>
        <w:rPr>
          <w:rFonts w:ascii="Arial" w:cs="Arial" w:eastAsia="Arial" w:hAnsi="Arial"/>
          <w:sz w:val="24"/>
          <w:szCs w:val="24"/>
        </w:rPr>
        <w:t xml:space="preserve">General wellness framing for initial deployment: activity monitoring, sleep tracking, and cognitive wellness tools can be deployed without FDA clearance under the General Wellness Policy, enabling data collection and iteration before formal regulatory submission.</w:t>
      </w:r>
    </w:p>
    <w:p>
      <w:pPr>
        <w:pStyle w:val="ListParagraph"/>
        <w:numPr>
          <w:ilvl w:val="0"/>
          <w:numId w:val="2"/>
        </w:numPr>
        <w:spacing w:after="100"/>
      </w:pPr>
      <w:r>
        <w:rPr>
          <w:rFonts w:ascii="Arial" w:cs="Arial" w:eastAsia="Arial" w:hAnsi="Arial"/>
          <w:sz w:val="24"/>
          <w:szCs w:val="24"/>
        </w:rPr>
        <w:t xml:space="preserve">De Novo pathway for novel low-to-moderate risk devices: a multimodal cognitive monitoring device with MCI detection claims would likely require De Novo classification given no predicate device. Target: 18–24 months from pre-submission to authorization.</w:t>
      </w:r>
    </w:p>
    <w:p>
      <w:pPr>
        <w:pStyle w:val="ListParagraph"/>
        <w:numPr>
          <w:ilvl w:val="0"/>
          <w:numId w:val="2"/>
        </w:numPr>
        <w:spacing w:after="100"/>
      </w:pPr>
      <w:r>
        <w:rPr>
          <w:rFonts w:ascii="Arial" w:cs="Arial" w:eastAsia="Arial" w:hAnsi="Arial"/>
          <w:sz w:val="24"/>
          <w:szCs w:val="24"/>
        </w:rPr>
        <w:t xml:space="preserve">Software as a Medical Device (SaMD) under FDA AI/ML Action Plan: the agency's evolving framework for continuously learning AI/ML-based SaMD should be engaged early. A predetermined change control plan (PCCP) enabling model updates without full re-review is essential for longitudinally adapting models.</w:t>
      </w:r>
    </w:p>
    <w:p>
      <w:pPr>
        <w:pStyle w:val="ListParagraph"/>
        <w:numPr>
          <w:ilvl w:val="0"/>
          <w:numId w:val="2"/>
        </w:numPr>
        <w:spacing w:after="100"/>
      </w:pPr>
      <w:r>
        <w:rPr>
          <w:rFonts w:ascii="Arial" w:cs="Arial" w:eastAsia="Arial" w:hAnsi="Arial"/>
          <w:sz w:val="24"/>
          <w:szCs w:val="24"/>
        </w:rPr>
        <w:t xml:space="preserve">Breakthrough Device Designation: dementia lacks adequate approved diagnostic tools; applying for Breakthrough Device status could significantly accelerate FDA review timelines.</w:t>
      </w:r>
    </w:p>
    <w:p>
      <w:pPr>
        <w:pStyle w:val="ListParagraph"/>
        <w:numPr>
          <w:ilvl w:val="0"/>
          <w:numId w:val="2"/>
        </w:numPr>
        <w:spacing w:after="100"/>
      </w:pPr>
      <w:r>
        <w:rPr>
          <w:rFonts w:ascii="Arial" w:cs="Arial" w:eastAsia="Arial" w:hAnsi="Arial"/>
          <w:sz w:val="24"/>
          <w:szCs w:val="24"/>
        </w:rPr>
        <w:t xml:space="preserve">IRB and ethics approval: any study collecting passive behavioral monitoring data from cognitively impaired individuals requires careful IRB consideration of capacity, consent, and data stewardship. Plan for this lead time.</w:t>
      </w:r>
    </w:p>
    <w:p>
      <w:pPr>
        <w:spacing w:after="140"/>
      </w:pPr>
      <w:r>
        <w:t xml:space="preserve"/>
      </w:r>
    </w:p>
    <w:p>
      <w:pPr>
        <w:pStyle w:val="Heading1"/>
      </w:pPr>
      <w:r>
        <w:rPr>
          <w:rFonts w:ascii="Arial" w:cs="Arial" w:eastAsia="Arial" w:hAnsi="Arial"/>
          <w:b/>
          <w:bCs/>
        </w:rPr>
        <w:t xml:space="preserve">Section 8: Recommended Research Team Structure</w:t>
      </w:r>
    </w:p>
    <w:p>
      <w:pPr>
        <w:spacing w:after="160"/>
      </w:pPr>
      <w:r>
        <w:rPr>
          <w:rFonts w:ascii="Arial" w:cs="Arial" w:eastAsia="Arial" w:hAnsi="Arial"/>
          <w:sz w:val="24"/>
          <w:szCs w:val="24"/>
        </w:rPr>
        <w:t xml:space="preserve">This roadmap spans multiple disciplines. The following team composition is recommended for any serious research effort in this space. Open research teams may distribute these roles across collaborating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Responsibilities</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 Skills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Neurologist / Geriatric Psychiatrist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Cohort design, clinical outcome definition, neuropsychological assessment protocol, clinical translation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Dementia subspecialty, familiarity with ADNI/ADCS protocols, biomarker interpretation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Processing Engineer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pipeline development, feature extraction, artifact removal, multi-modal synchronization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DSP, physiological signal processing, embedded systems, IMU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AI Researcher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architecture, training pipelines, validation methodology, uncertainty quantification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series ML, clinical ML validation, federated learning, on-device inference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 / NLP Scientist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 feature extraction, language model development, acoustic analysis pipeline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 processing, NLP, DementiaBank familiarity, multi-language capability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Biostatistician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design, power calculations, survival analysis, mixed-effects longitudinal modeling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trial methodology, longitudinal data analysis, missing data handling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 Security Engineer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On-device processing pipelines, differential privacy, data governance, consent infrastructure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cryptography, TEE, federated learning, HIPAA/GDPR compliance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Ethics / Patient Advocate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 design, equity review, community engagement, caregiver perspective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Bioethics, dementia advocacy community connections, lived experience preferred</w:t>
            </w:r>
          </w:p>
        </w:tc>
      </w:tr>
    </w:tbl>
    <w:p>
      <w:pPr>
        <w:spacing w:after="140"/>
      </w:pPr>
      <w:r>
        <w:t xml:space="preserve"/>
      </w:r>
    </w:p>
    <w:p>
      <w:pPr>
        <w:pStyle w:val="Heading1"/>
      </w:pPr>
      <w:r>
        <w:rPr>
          <w:rFonts w:ascii="Arial" w:cs="Arial" w:eastAsia="Arial" w:hAnsi="Arial"/>
          <w:b/>
          <w:bCs/>
        </w:rPr>
        <w:t xml:space="preserve">Closing Statement</w:t>
      </w:r>
    </w:p>
    <w:p>
      <w:pPr>
        <w:spacing w:after="160"/>
      </w:pPr>
      <w:r>
        <w:rPr>
          <w:rFonts w:ascii="Arial" w:cs="Arial" w:eastAsia="Arial" w:hAnsi="Arial"/>
          <w:sz w:val="24"/>
          <w:szCs w:val="24"/>
        </w:rPr>
        <w:t xml:space="preserve">Dementia represents one of the largest unmet needs in global medicine. Over 55 million people live with dementia worldwide; this number is projected to reach 139 million by 2050. The tools to detect it earlier already exist in the pockets and homes of most affected individuals. The barrier is not hardware — it is the systematic research effort required to validate signals, build longitudinal datasets, and translate findings into clinical practice.</w:t>
      </w:r>
    </w:p>
    <w:p>
      <w:pPr>
        <w:spacing w:after="160"/>
      </w:pPr>
      <w:r>
        <w:rPr>
          <w:rFonts w:ascii="Arial" w:cs="Arial" w:eastAsia="Arial" w:hAnsi="Arial"/>
          <w:sz w:val="24"/>
          <w:szCs w:val="24"/>
        </w:rPr>
        <w:t xml:space="preserve">This roadmap is designed to make that research effort as efficient as possible by prioritizing the signals with the strongest existing evidence base. Teams that follow this roadmap will not be starting from zero. They will be standing on thirty years of cognitive neuroscience and building toward something that could realistically shift dementia diagnosis five to ten years earlier — a window in which emerging disease-modifying therapies may actually be effective.</w:t>
      </w:r>
    </w:p>
    <w:p>
      <w:pPr>
        <w:spacing w:after="160"/>
      </w:pPr>
      <w:r>
        <w:rPr>
          <w:rFonts w:ascii="Arial" w:cs="Arial" w:eastAsia="Arial" w:hAnsi="Arial"/>
          <w:sz w:val="24"/>
          <w:szCs w:val="24"/>
        </w:rPr>
        <w:t xml:space="preserve">All content in this document is released under CC0 1.0 Universal. No rights reserved. Cite freely. Build freely.</w:t>
      </w:r>
    </w:p>
    <w:p>
      <w:pPr>
        <w:spacing w:after="140"/>
      </w:pPr>
      <w:r>
        <w:t xml:space="preserve"/>
      </w:r>
    </w:p>
    <w:p>
      <w:pPr>
        <w:pBdr>
          <w:top w:val="single" w:color="AAAAAA" w:sz="6" w:space="1"/>
        </w:pBdr>
        <w:spacing w:before="400" w:after="120"/>
      </w:pPr>
      <w:r>
        <w:rPr>
          <w:rFonts w:ascii="Arial" w:cs="Arial" w:eastAsia="Arial" w:hAnsi="Arial"/>
          <w:i/>
          <w:iCs/>
          <w:color w:val="777777"/>
          <w:sz w:val="20"/>
          <w:szCs w:val="20"/>
        </w:rPr>
        <w:t xml:space="preserve">CC0 1.0 Universal — No Rights Reserved. Part of the AI Mental Health Monitoring Defensive Publication Series,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2026-02-26T03:12:55.347Z</dcterms:created>
  <dcterms:modified xsi:type="dcterms:W3CDTF">2026-02-26T03:12:55.348Z</dcterms:modified>
</cp:coreProperties>
</file>

<file path=docProps/custom.xml><?xml version="1.0" encoding="utf-8"?>
<Properties xmlns="http://schemas.openxmlformats.org/officeDocument/2006/custom-properties" xmlns:vt="http://schemas.openxmlformats.org/officeDocument/2006/docPropsVTypes"/>
</file>