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900"/>
        <w:pageBreakBefore w:val="false"/>
        <w:pBdr/>
        <w:spacing/>
        <w:ind/>
        <w:jc w:val="left"/>
        <w:rPr/>
      </w:pPr>
      <w:r>
        <w:rPr>
          <w:rFonts w:ascii="Calibri" w:hAnsi="Calibri" w:eastAsia="Calibri" w:cs="Calibri"/>
          <w:b/>
          <w:bCs/>
          <w:color w:val="0b2545"/>
          <w:sz w:val="44"/>
          <w:szCs w:val="44"/>
          <w:rtl w:val="0"/>
        </w:rPr>
        <w:t xml:space="preserve">Тест План</w:t>
      </w:r>
      <w:r>
        <w:rPr>
          <w:rtl w:val="0"/>
        </w:rPr>
      </w:r>
      <w:r/>
    </w:p>
    <w:p w14:paraId="00000002">
      <w:pPr>
        <w:pStyle w:val="901"/>
        <w:pageBreakBefore w:val="false"/>
        <w:pBdr/>
        <w:spacing/>
        <w:ind/>
        <w:rPr/>
      </w:pPr>
      <w:r>
        <w:rPr>
          <w:rFonts w:ascii="Calibri" w:hAnsi="Calibri" w:eastAsia="Calibri" w:cs="Calibri"/>
          <w:i/>
          <w:iCs/>
          <w:color w:val="5a5a5a"/>
          <w:sz w:val="26"/>
          <w:szCs w:val="26"/>
          <w:rtl w:val="0"/>
        </w:rPr>
        <w:t xml:space="preserve">по автоматизации тестирования TeamCity</w:t>
      </w:r>
      <w:r>
        <w:rPr>
          <w:rtl w:val="0"/>
        </w:rPr>
      </w:r>
      <w:r/>
    </w:p>
    <w:p w14:paraId="0000000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color w:val="505050"/>
          <w:sz w:val="22"/>
          <w:szCs w:val="22"/>
          <w:rtl w:val="0"/>
        </w:rPr>
        <w:t xml:space="preserve">Версия плана: 1.1</w:t>
        <w:br/>
        <w:t xml:space="preserve">Дата: 30.06.2026</w:t>
        <w:br/>
      </w:r>
      <w:r>
        <w:rPr>
          <w:rtl w:val="0"/>
        </w:rPr>
      </w:r>
      <w:r/>
    </w:p>
    <w:p w14:paraId="00000004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Содержание</w:t>
      </w:r>
      <w:r>
        <w:rPr>
          <w:rtl w:val="0"/>
        </w:rPr>
      </w:r>
      <w:r/>
    </w:p>
    <w:p w14:paraId="0000000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1" w:anchor="toc_sec_01" w:history="1">
        <w:r>
          <w:rPr>
            <w:color w:val="0563c1"/>
            <w:u w:val="single"/>
          </w:rPr>
          <w:t xml:space="preserve">Исходные условия проекта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6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2" w:anchor="toc_sec_02" w:history="1">
        <w:r>
          <w:rPr>
            <w:color w:val="0563c1"/>
            <w:u w:val="single"/>
          </w:rPr>
          <w:t xml:space="preserve">Цель плана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7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3" w:anchor="toc_sec_03" w:history="1">
        <w:r>
          <w:rPr>
            <w:color w:val="0563c1"/>
            <w:u w:val="single"/>
          </w:rPr>
          <w:t xml:space="preserve">Метрики продукта и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4" w:anchor="toc_sec_04" w:history="1">
        <w:r>
          <w:rPr>
            <w:color w:val="0563c1"/>
            <w:u w:val="single"/>
          </w:rPr>
          <w:t xml:space="preserve">Аспекты качества продукта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5" w:anchor="toc_sec_05" w:history="1">
        <w:r>
          <w:rPr>
            <w:color w:val="0563c1"/>
            <w:u w:val="single"/>
          </w:rPr>
          <w:t xml:space="preserve">Виды и уровни тестирования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quality_metrics" w:anchor="toc_sec_quality_metrics" w:history="1">
        <w:r>
          <w:rPr>
            <w:color w:val="0563c1"/>
            <w:u w:val="single"/>
          </w:rPr>
          <w:t xml:space="preserve">Метрики качества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roi" w:anchor="toc_sec_roi" w:history="1">
        <w:r>
          <w:rPr>
            <w:color w:val="0563c1"/>
            <w:u w:val="single"/>
          </w:rPr>
          <w:t xml:space="preserve">Расчет ROI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A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6" w:anchor="toc_sec_06" w:history="1">
        <w:r>
          <w:rPr>
            <w:color w:val="0563c1"/>
            <w:u w:val="single"/>
          </w:rPr>
          <w:t xml:space="preserve">Стек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6" w:anchor="toc_sec_framework_architecture" w:history="1">
        <w:r>
          <w:rPr>
            <w:color w:val="0563c1"/>
            <w:u w:val="single"/>
          </w:rPr>
          <w:t xml:space="preserve">Архитектура фреймворка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B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7" w:anchor="toc_sec_07" w:history="1">
        <w:r>
          <w:rPr>
            <w:color w:val="0563c1"/>
            <w:u w:val="single"/>
          </w:rPr>
          <w:t xml:space="preserve">Тестовое окружение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C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8" w:anchor="toc_sec_08" w:history="1">
        <w:r>
          <w:rPr>
            <w:color w:val="0563c1"/>
            <w:u w:val="single"/>
          </w:rPr>
          <w:t xml:space="preserve">Критичный MVP-сценарий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D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9" w:anchor="toc_sec_09" w:history="1">
        <w:r>
          <w:rPr>
            <w:color w:val="0563c1"/>
            <w:u w:val="single"/>
          </w:rPr>
          <w:t xml:space="preserve">UI Automation Scope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E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0" w:anchor="toc_sec_10" w:history="1">
        <w:r>
          <w:rPr>
            <w:color w:val="0563c1"/>
            <w:u w:val="single"/>
          </w:rPr>
          <w:t xml:space="preserve">Стратегия тестовых данных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F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1" w:anchor="toc_sec_11" w:history="1">
        <w:r>
          <w:rPr>
            <w:color w:val="0563c1"/>
            <w:u w:val="single"/>
          </w:rPr>
          <w:t xml:space="preserve">Тестовые сценарии и скоуп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0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2" w:anchor="toc_sec_12" w:history="1">
        <w:r>
          <w:rPr>
            <w:color w:val="0563c1"/>
            <w:u w:val="single"/>
          </w:rPr>
          <w:t xml:space="preserve">Поэтапный план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1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3" w:anchor="toc_sec_13" w:history="1">
        <w:r>
          <w:rPr>
            <w:color w:val="0563c1"/>
            <w:u w:val="single"/>
          </w:rPr>
          <w:t xml:space="preserve">Необходимые ресурсы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2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4" w:anchor="toc_sec_14" w:history="1">
        <w:r>
          <w:rPr>
            <w:color w:val="0563c1"/>
            <w:u w:val="single"/>
          </w:rPr>
          <w:t xml:space="preserve">Распределение работ в команде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3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5" w:anchor="toc_sec_15" w:history="1">
        <w:r>
          <w:rPr>
            <w:color w:val="0563c1"/>
            <w:u w:val="single"/>
          </w:rPr>
          <w:t xml:space="preserve">Риски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4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6" w:anchor="toc_sec_16" w:history="1">
        <w:r>
          <w:rPr>
            <w:color w:val="0563c1"/>
            <w:u w:val="single"/>
          </w:rPr>
          <w:t xml:space="preserve">Отслеживание процесса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7" w:anchor="toc_sec_17" w:history="1">
        <w:r>
          <w:rPr>
            <w:color w:val="0563c1"/>
            <w:u w:val="single"/>
          </w:rPr>
          <w:t xml:space="preserve">Структура команды тестирования (нет информации о ФИО и контактах)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1" w:name="toc_sec_0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Исходные условия проекта</w:t>
      </w:r>
      <w:r>
        <w:rPr>
          <w:rtl w:val="0"/>
        </w:rPr>
      </w:r>
      <w:bookmarkEnd w:id="1001"/>
      <w:r/>
      <w:r/>
    </w:p>
    <w:tbl>
      <w:tblPr>
        <w:tblStyle w:val="90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Параметр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Решение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Команда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3 QA Automation Engineers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Состояние тестов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У TeamCity есть unit tests на стороне продукта, но в зоне нашего проекта нет готовых ручных тест-кейсов и нет готового UI/API/E2E автотестового suite.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Продукт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On-Premises, локальный запуск через Docker Compose.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Целевая версия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2026.1.1, build 222577. Целевая версия выбрана как закрепленный bug-fix релиз ветки 2026.1: она стабильнее базового 2026.1, не меняется автоматически как latest и делает результаты автотестов воспроизводимыми.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Agent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Полный образ jetbrains/teamcity-agent:2026.1.1; minimal-agent не используем как основной.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Локальная база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Internal database / HSQLDB для быстрого локального старта.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CI-подход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 на internal HSQLDB, production-like CI на PostgreSQL, compatibility smoke на остальных поддерживаемых БД.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Test Management System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информации: конкретная TMS не выбрана.</w:t>
            </w:r>
            <w:r>
              <w:rPr>
                <w:rtl w:val="0"/>
              </w:rPr>
            </w:r>
            <w:r/>
          </w:p>
        </w:tc>
      </w:tr>
    </w:tbl>
    <w:p w14:paraId="0000002F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16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2" w:name="toc_sec_0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Цель плана</w:t>
      </w:r>
      <w:r>
        <w:rPr>
          <w:rtl w:val="0"/>
        </w:rPr>
      </w:r>
      <w:bookmarkEnd w:id="1002"/>
      <w:r/>
      <w:r/>
    </w:p>
    <w:p w14:paraId="00000017">
      <w:pPr>
        <w:pageBreakBefore w:val="false"/>
        <w:pBdr/>
        <w:spacing w:after="120" w:line="259" w:lineRule="auto"/>
        <w:ind/>
        <w:rPr/>
      </w:pPr>
      <w:r>
        <w:rPr>
          <w:rFonts w:ascii="Calibri" w:hAnsi="Calibri"/>
        </w:rPr>
        <w:t xml:space="preserve">Цель тест-плана — определить стратегию автоматизации TeamCity с нуля для команды из трех QA Automation Engineers. На старт</w:t>
      </w:r>
      <w:r>
        <w:rPr>
          <w:rFonts w:ascii="Calibri" w:hAnsi="Calibri"/>
        </w:rPr>
        <w:t xml:space="preserve">е проекта отсутствуют готовые ручные тест-кейсы и готовый UI/API/E2E suite; существующие unit tests продукта не входят в наш black-box scope. Первый этап должен дать быстрый, демонстрируемый результат и одновременно заложить основу для расширения покрытия.</w:t>
      </w:r>
      <w:r/>
    </w:p>
    <w:p w14:paraId="0000001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Сконцентрироваться на наиболее критичной функциональности продукта.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/>
          <w:sz w:val="22"/>
        </w:rPr>
        <w:t xml:space="preserve">Покрыть сквозной жизненный цикл TeamCity: первый запуск, администратор, роли и права доступа, agent, project, build configuration, build run.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Разделить UI и API автоматизацию так, чтобы UI проверял только критичные пользовательские flows, а API давал стабильное и быстрое покрытие.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Подготовить pipeline, который поднимает стенд и запускает автотесты воспроизводимо.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0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  <w:t xml:space="preserve">Бизнес 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  <w:t xml:space="preserve">м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етрики продукта</w:t>
      </w:r>
      <w:r/>
    </w:p>
    <w:p w14:paraId="00000031">
      <w:pPr>
        <w:pageBreakBefore w:val="false"/>
        <w:pBdr/>
        <w:spacing w:after="120" w:line="259" w:lineRule="auto"/>
        <w:ind/>
        <w:rPr/>
      </w:pPr>
      <w:r>
        <w:t xml:space="preserve"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  <w:r/>
    </w:p>
    <w:tbl>
      <w:tblPr>
        <w:tblStyle w:val="903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15"/>
        <w:gridCol w:w="3313"/>
        <w:gridCol w:w="3264"/>
        <w:tblGridChange w:id="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Цель тест-плана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Метрика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Целевое значение / критерий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Оценить влияние автоматизации на delivery.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Time To Market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Ускорить на 20% время доставки новой функциональности в продакшн версию продукта за счет более быстрого P0/P1 feedback loop </w:t>
            </w:r>
            <w:r>
              <w:rPr>
                <w:sz w:val="21"/>
                <w:lang w:val="ru-RU"/>
              </w:rPr>
              <w:t xml:space="preserve">и сокращения </w:t>
            </w:r>
            <w:r>
              <w:rPr>
                <w:sz w:val="21"/>
              </w:rPr>
              <w:t xml:space="preserve">ручной регрессии.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  <w:t xml:space="preserve">Быстро обнаруживать критичные поломки.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Mean Time to Detect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Уменьшить среднее время обнаружения ошибок до 2 часов для регрессионного тестирования. 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7440A9A7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  <w:t xml:space="preserve">Быстро обнаруживать критичные поломки.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  <w:p w14:paraId="2CB3FF4E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250CB2FA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Bug Fix Time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1669843F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Сократить время исправления критических багов до 24 часов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28185AA1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Сконцентрироваться на наиболее критичной функциональности продукта.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4B9259BF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P0/P1 coverage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07CF8E5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</w:tr>
    </w:tbl>
    <w:p w14:paraId="00000053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54">
      <w:pPr>
        <w:pStyle w:val="894"/>
        <w:keepNext w:val="true"/>
        <w:pageBreakBefore w:val="false"/>
        <w:pBdr/>
        <w:spacing w:after="120" w:before="240"/>
        <w:ind/>
        <w:rPr>
          <w:highlight w:val="yellow"/>
        </w:rPr>
      </w:pPr>
      <w:r>
        <w:rPr>
          <w:highlight w:val="yellow"/>
        </w:rPr>
      </w:r>
      <w:bookmarkStart w:id="1004" w:name="toc_sec_04"/>
      <w:r>
        <w:rPr>
          <w:rFonts w:ascii="Calibri" w:hAnsi="Calibri" w:eastAsia="Calibri" w:cs="Calibri"/>
          <w:b/>
          <w:bCs/>
          <w:color w:val="2e74b5"/>
          <w:sz w:val="32"/>
          <w:szCs w:val="32"/>
          <w:highlight w:val="yellow"/>
          <w:rtl w:val="0"/>
        </w:rPr>
        <w:t xml:space="preserve">Аспекты качества продукта</w:t>
      </w:r>
      <w:r>
        <w:rPr>
          <w:highlight w:val="yellow"/>
          <w:rtl w:val="0"/>
        </w:rPr>
      </w:r>
      <w:bookmarkEnd w:id="1004"/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TODO</w:t>
      </w:r>
      <w:r>
        <w:rPr>
          <w:highlight w:val="yellow"/>
        </w:rPr>
      </w:r>
      <w:r>
        <w:rPr>
          <w:highlight w:val="yellow"/>
        </w:rPr>
      </w:r>
    </w:p>
    <w:tbl>
      <w:tblPr>
        <w:tblStyle w:val="90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2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Аспект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Почему критично для TeamCity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Риск без покрытия</w:t>
            </w:r>
            <w:r>
              <w:rPr>
                <w:rtl w:val="0"/>
              </w:rPr>
            </w:r>
            <w:r/>
          </w:p>
        </w:tc>
      </w:tr>
    </w:tbl>
    <w:p w14:paraId="0000006D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6E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5" w:name="toc_sec_0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Виды и уровни тестирования</w:t>
      </w:r>
      <w:r>
        <w:rPr>
          <w:rtl w:val="0"/>
        </w:rPr>
      </w:r>
      <w:bookmarkEnd w:id="1005"/>
      <w:r>
        <w:rPr>
          <w:lang w:val="ru-RU"/>
        </w:rPr>
        <w:t xml:space="preserve"> </w:t>
      </w:r>
      <w:r>
        <w:rPr>
          <w:highlight w:val="none"/>
          <w:lang w:val="en-US"/>
        </w:rPr>
        <w:t xml:space="preserve">TODO</w:t>
      </w:r>
      <w:r>
        <w:rPr>
          <w:lang w:val="ru-RU"/>
        </w:rPr>
      </w:r>
      <w:r/>
    </w:p>
    <w:tbl>
      <w:tblPr>
        <w:tblStyle w:val="905"/>
        <w:tblInd w:w="-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1300"/>
        <w:gridCol w:w="2150"/>
        <w:gridCol w:w="3450"/>
        <w:gridCol w:w="2460"/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6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Приоритет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Вид тестирования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Решение для проекта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Кто отвечает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E2E Smoke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Критичный путь от первого запуска до успешного build.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команда; интегратор недели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API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Project, build configuration, build run, build status, server readiness.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API-сущностям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UI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Только критичные flows: setup wizard, first admin, agent authorization.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UI-flow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P1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Roles / Permissions Testing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Критичные проверки прав: admin имеет полный доступ; ограниченный пользователь не может выполнять admin/build/agent действия вне разрешений.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ролям и правам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Bootstrap / Installability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Headless-подготовка стенда для CI без ручного UI.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команда; bootstrap-owner недели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Integration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Связка Server + Agent + REST API + build lifecycle.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Smoke с PostgreSQL, MySQL, MariaDB, MS SQL Server, Oracle.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ротации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Regression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Расширение после стабилизации MVP-покрытия.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 после MVP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Security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Минимально: login, token usage, agent authorization; полный security scope не описан.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Engineers; scope уточняется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Unit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6"/>
              </w:rPr>
              <w:t xml:space="preserve">Unit tests продукта существуют, но не входят в scope команды на старте; проект проверяет TeamCity как black-box через UI/API/E2E.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Команда продукта; вне scope проекта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Performance/Load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Не входит в первые 4 недели, кроме базового контроля длительности smoke.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Не назначается на первые 4 недели</w:t>
            </w:r>
            <w:r/>
          </w:p>
        </w:tc>
      </w:tr>
    </w:tbl>
    <w:p w14:paraId="00000090">
      <w:pPr>
        <w:pageBreakBefore w:val="false"/>
        <w:pBdr/>
        <w:spacing/>
        <w:ind/>
        <w:rPr/>
      </w:pPr>
      <w:r>
        <w:rPr>
          <w:rtl w:val="0"/>
        </w:rPr>
      </w:r>
      <w:r/>
    </w:p>
    <w:p>
      <w:pPr>
        <w:pStyle w:val="894"/>
        <w:pBdr/>
        <w:spacing/>
        <w:ind/>
        <w:rPr/>
      </w:pPr>
      <w:r/>
      <w:bookmarkStart w:id="1019" w:name="toc_sec_quality_metrics"/>
      <w:r>
        <w:t xml:space="preserve">Метрики качества автоматизации</w:t>
      </w:r>
      <w:bookmarkEnd w:id="1019"/>
      <w:r/>
      <w:r/>
    </w:p>
    <w:tbl>
      <w:tblPr>
        <w:tblStyle w:val="903"/>
        <w:jc w:val="center"/>
        <w:tblInd w:w="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3000"/>
        <w:gridCol w:w="1900"/>
        <w:gridCol w:w="4460"/>
      </w:tblGrid>
      <w:tr>
        <w:trPr>
          <w:cantSplit/>
          <w:tblHeader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8"/>
              </w:rPr>
              <w:t xml:space="preserve">Цель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8"/>
              </w:rPr>
              <w:t xml:space="preserve">Метрика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8"/>
              </w:rPr>
              <w:t xml:space="preserve">Целевое значение / критерий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Сконцентрироваться на наиболее критичной функциональности продукта.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P0/P1 coverage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Подготовить pipeline, который поднимает стенд и запускает автотесты воспроизводимо.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Pipeline readiness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К концу 4-й недели pipeline поднимает стенд, выполняет bootstrap, запускает UI/API suites и публикует отчет.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Сохранять доверие к автотестам.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Pass Rate / Flaky Rate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Pass Rate &gt;= 95% на стабильном стенде; Flaky Rate &lt;= 3%.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Контролировать длительность быстрого smoke-прогона.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Smoke duration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&lt;= 20 минут для fast CI.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894"/>
        <w:pBdr/>
        <w:spacing/>
        <w:ind/>
        <w:rPr/>
      </w:pPr>
      <w:r/>
      <w:bookmarkStart w:id="1020" w:name="toc_sec_roi"/>
      <w:r>
        <w:t xml:space="preserve">Расчет ROI автоматизации</w:t>
      </w:r>
      <w:bookmarkEnd w:id="1020"/>
      <w:r/>
      <w:r/>
    </w:p>
    <w:p>
      <w:pPr>
        <w:pBdr/>
        <w:spacing w:after="120"/>
        <w:ind/>
        <w:rPr/>
      </w:pPr>
      <w:r>
        <w:t xml:space="preserve">В этом разделе ROI рассматривается как срок окупаемости автоматизации: сколько времени нужно, чтобы экономия на ручной P0/P1-регрессии покрыла первоначальные затраты на MVP-suite.</w:t>
      </w:r>
      <w:r/>
    </w:p>
    <w:p>
      <w:pPr>
        <w:pBdr/>
        <w:spacing w:after="120"/>
        <w:ind/>
        <w:rPr>
          <w:b/>
          <w:bCs/>
        </w:rPr>
      </w:pPr>
      <w:r>
        <w:rPr>
          <w:b/>
          <w:bCs/>
        </w:rPr>
        <w:t xml:space="preserve">Формула расчета: </w:t>
      </w:r>
      <w:r>
        <w:rPr>
          <w:b/>
          <w:bCs/>
        </w:rPr>
      </w:r>
      <w:r>
        <w:rPr>
          <w:b/>
          <w:bCs/>
        </w:rPr>
      </w:r>
    </w:p>
    <w:p w14:paraId="62FE5401">
      <w:pPr>
        <w:pBdr/>
        <w:spacing w:after="120"/>
        <w:ind/>
        <w:rPr/>
      </w:pPr>
      <w:r>
        <w:t xml:space="preserve">с</w:t>
      </w:r>
      <w:r>
        <w:t xml:space="preserve">рок окупаемости = затраты на автоматизацию / годовая экономия ручной регрессии. </w:t>
      </w:r>
      <w:r/>
    </w:p>
    <w:p w14:paraId="6C3F48CE">
      <w:pPr>
        <w:pBdr/>
        <w:spacing w:after="120"/>
        <w:ind/>
        <w:rPr/>
      </w:pPr>
      <w:r>
        <w:t xml:space="preserve">Все значения предварительные и относятся к MVP-scope: first start, admin, roles/permissions, agent, project, build configuration, build run и базовая проверка результата build.</w:t>
      </w:r>
      <w:r/>
    </w:p>
    <w:tbl>
      <w:tblPr>
        <w:tblStyle w:val="903"/>
        <w:jc w:val="center"/>
        <w:tblInd w:w="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3000"/>
        <w:gridCol w:w="4300"/>
        <w:gridCol w:w="2060"/>
      </w:tblGrid>
      <w:tr>
        <w:trPr>
          <w:cantSplit/>
          <w:tblHeader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7"/>
              </w:rPr>
              <w:t xml:space="preserve">Показатель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7"/>
              </w:rPr>
              <w:t xml:space="preserve">Как считаем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7"/>
              </w:rPr>
              <w:t xml:space="preserve">Результат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Затраты на </w:t>
            </w:r>
            <w:r>
              <w:rPr>
                <w:sz w:val="17"/>
                <w:lang w:val="ru-RU"/>
              </w:rPr>
              <w:t xml:space="preserve">автоматизацию </w:t>
            </w:r>
            <w:r>
              <w:rPr>
                <w:sz w:val="17"/>
              </w:rPr>
              <w:t xml:space="preserve">MVP-suite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3 QA Automation Engineers * 4 недели * 40 часов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480 часов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Одна ручная P0/P1-регрессия на одном окружении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setup/admin + roles/permissions + agent + project/build configuration + build run + отчетность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16 часов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Базовый регрессионный цикл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2 окружения: HSQLDB fast path + PostgreSQL production-like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1</w:t>
            </w:r>
            <w:r>
              <w:rPr>
                <w:sz w:val="17"/>
                <w:lang w:val="ru-RU"/>
              </w:rPr>
              <w:t xml:space="preserve">8 </w:t>
            </w:r>
            <w:r>
              <w:rPr>
                <w:sz w:val="17"/>
              </w:rPr>
              <w:t xml:space="preserve">часа за цикл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Экономия при 1 цикле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  <w:lang w:val="ru-RU"/>
              </w:rPr>
              <w:t xml:space="preserve">18</w:t>
            </w:r>
            <w:r>
              <w:rPr>
                <w:sz w:val="17"/>
              </w:rPr>
              <w:t xml:space="preserve"> часа * 12 месяцев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lang w:val="ru-RU"/>
              </w:rPr>
              <w:t xml:space="preserve">216</w:t>
            </w:r>
            <w:r>
              <w:rPr>
                <w:sz w:val="17"/>
              </w:rPr>
              <w:t xml:space="preserve"> часа/год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Срок окупаемости при 1 цикле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ru-RU"/>
              </w:rPr>
              <w:t xml:space="preserve">216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lang w:val="ru-RU"/>
              </w:rPr>
              <w:t xml:space="preserve">2</w:t>
            </w:r>
            <w:r>
              <w:rPr>
                <w:sz w:val="17"/>
                <w:lang w:val="en-US"/>
              </w:rPr>
              <w:t xml:space="preserve">,22 </w:t>
            </w:r>
            <w:r>
              <w:rPr>
                <w:sz w:val="17"/>
              </w:rPr>
              <w:t xml:space="preserve"> года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Экономия при 2 циклах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  <w:lang w:val="en-US"/>
              </w:rPr>
              <w:t xml:space="preserve">18</w:t>
            </w:r>
            <w:r>
              <w:rPr>
                <w:sz w:val="17"/>
              </w:rPr>
              <w:t xml:space="preserve"> часа * 2 * 12 месяцев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lang w:val="en-US"/>
              </w:rPr>
              <w:t xml:space="preserve">432</w:t>
            </w:r>
            <w:r>
              <w:rPr>
                <w:sz w:val="17"/>
              </w:rPr>
              <w:t xml:space="preserve"> часов/год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Срок окупаемости при 2 циклах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en-US"/>
              </w:rPr>
              <w:t xml:space="preserve">432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>
                <w:sz w:val="17"/>
                <w:szCs w:val="17"/>
                <w14:ligatures w14:val="none"/>
              </w:rPr>
            </w:pPr>
            <w:r>
              <w:rPr>
                <w:sz w:val="17"/>
                <w:lang w:val="en-US"/>
              </w:rPr>
              <w:t xml:space="preserve">1,11</w:t>
            </w:r>
            <w:r>
              <w:rPr>
                <w:sz w:val="17"/>
              </w:rPr>
              <w:t xml:space="preserve"> года, около </w:t>
            </w:r>
            <w:r>
              <w:rPr>
                <w:sz w:val="17"/>
                <w:szCs w:val="17"/>
              </w:rPr>
              <w:t xml:space="preserve">13,3 месяца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  <w14:ligatures w14:val="none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Risk-adjusted срок окупаемости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  <w:lang w:val="ru-RU"/>
              </w:rPr>
              <w:t xml:space="preserve">1</w:t>
            </w:r>
            <w:r>
              <w:rPr>
                <w:sz w:val="17"/>
                <w:lang w:val="en-US"/>
              </w:rPr>
              <w:t xml:space="preserve">,11</w:t>
            </w:r>
            <w:r>
              <w:rPr>
                <w:sz w:val="17"/>
              </w:rPr>
              <w:t xml:space="preserve"> * 2, если закладываем риск нестабильности и доработок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около </w:t>
            </w:r>
            <w:r>
              <w:rPr>
                <w:sz w:val="17"/>
                <w:lang w:val="en-US"/>
              </w:rPr>
              <w:t xml:space="preserve">2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  <w:lang w:val="en-US"/>
              </w:rPr>
              <w:t xml:space="preserve">22</w:t>
            </w:r>
            <w:r>
              <w:rPr>
                <w:sz w:val="17"/>
              </w:rPr>
              <w:t xml:space="preserve"> года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DB compatibility ускоряет окупаемость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6 DB-профилей * 16 часов * 12 месяцев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1152 часа/год; 480 / 1152 = 0.42 года без risk factor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Bdr/>
        <w:spacing w:after="120"/>
        <w:ind/>
        <w:rPr/>
      </w:pPr>
      <w:r>
        <w:t xml:space="preserve">Вывод: при двух регрессионных циклах в месяц базовый MVP-suite окупается примерно за </w:t>
      </w:r>
      <w:r>
        <w:rPr>
          <w:lang w:val="en-US"/>
        </w:rPr>
        <w:t xml:space="preserve">13  </w:t>
      </w:r>
      <w:r>
        <w:rPr>
          <w:lang w:val="ru-RU"/>
        </w:rPr>
        <w:t xml:space="preserve">месяцев</w:t>
      </w:r>
      <w:r>
        <w:t xml:space="preserve">. Если применить коэффициент риска 2, ориентир становится около </w:t>
      </w:r>
      <w:r>
        <w:rPr>
          <w:lang w:val="ru-RU"/>
        </w:rPr>
        <w:t xml:space="preserve">26</w:t>
      </w:r>
      <w:r>
        <w:t xml:space="preserve"> </w:t>
      </w:r>
      <w:r>
        <w:rPr>
          <w:lang w:val="ru-RU"/>
        </w:rPr>
        <w:t xml:space="preserve">месяцев</w:t>
      </w:r>
      <w:r>
        <w:t xml:space="preserve">. </w:t>
      </w:r>
      <w:r/>
    </w:p>
    <w:p w14:paraId="59EADD29">
      <w:pPr>
        <w:pBdr/>
        <w:spacing w:after="120"/>
        <w:ind/>
        <w:rPr/>
      </w:pPr>
      <w:r>
        <w:t xml:space="preserve">Если набор автотестов живет дольше </w:t>
      </w:r>
      <w:r>
        <w:rPr>
          <w:lang w:val="ru-RU"/>
        </w:rPr>
        <w:t xml:space="preserve">2 лет</w:t>
      </w:r>
      <w:r>
        <w:t xml:space="preserve">, эффект от автоматизации становится положительным</w:t>
      </w:r>
      <w:r>
        <w:rPr>
          <w:lang w:val="ru-RU"/>
        </w:rPr>
        <w:t xml:space="preserve">.</w:t>
      </w:r>
      <w:r/>
    </w:p>
    <w:p w14:paraId="00000091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6" w:name="toc_sec_0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Стек автоматизации</w:t>
      </w:r>
      <w:r>
        <w:rPr>
          <w:rtl w:val="0"/>
        </w:rPr>
      </w:r>
      <w:bookmarkEnd w:id="1006"/>
      <w:r/>
      <w:r/>
    </w:p>
    <w:tbl>
      <w:tblPr>
        <w:tblStyle w:val="906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3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Компонент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Выбор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Обоснование 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Язык программирования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6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Python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4D855F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В команде уже есть 3 инженера-автоматизатора с экспертизой в Python, поэтому не требуется дополнительное обучение и можно быстрее развивать автотесты.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545A7D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Python хорошо поддерживает pytest, Selenium/Playwright, API-тесты, Allure и работу с внешними сервисами.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197477B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Test runner</w:t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33E76381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Pytest</w:t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2B1A4A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Для организации автотестов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pytest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потому что он проще и гибче стандартного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unittest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и лучше подходит для масштабируемого test framework. В отличие от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unittest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pytest дает более удобные фикстуры, параметризацию, маркировку тестов и лаконичный синтаксис. По сравнению с BDD-фреймворками вроде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behave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pytest меньше усложняет структуру проекта и лучше подходит для технических автотестов.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8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UI automation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9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Playwright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Playwright выбран как более подходящий инструмент для нашего проекта по сравнению с Selenium и Cypress. По сравнению с Selenium он дает более стабильную работу с UI за счет auto-wait, удобных локаторов и встроенных инструментов диагностики: trace, screensh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ots и video. Cypress силен для frontend-тестирования в JavaScript/TypeScript-стеке, но для нашей команды менее удобен, потому что основной стек автоматизации — Python. Поэтому Playwright лучше соответствует текущим компетенциям команды, проще интегрируется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в существующий Python-фреймворк и хорошо подходит для запуска в TeamCity.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B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 automation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C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361500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Для автоматизации API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как основной HTTP-клиент в Python.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20E5AB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хорошо подходит для REST API-тестирования, так как предоставляет простой и понятный интерфейс для выполнения HTTP-запросов, работы с headers, query parameters, body, JSON, cookies, sessions и авторизацией.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54581B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Инструмент является зрелым, широко распространенным и хорошо документированным, поэтому его легко поддерживать внутри команды. Он не требует сложной настройки, хорошо интегрируется в Python-based automation framework и позволяет быстро реализовывать переис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пользуемые API-клиенты для тестов.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479C84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Альтернативы, например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httpx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могут быть рассмотрены при необходимости async-запросов или HTTP/2, но для стандартной REST API-автоматизации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является более простым, стабильным и достаточным решением.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CI/CD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en-US"/>
              </w:rPr>
              <w:t xml:space="preserve">GitHub Actions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67846F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Для CI/CD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GitHub Actions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так как проект уже размещен в GitHub. Это позволяет настраивать pipeline без дополнительной интеграции с внешними CI-системами и не усложнять инфраструктуру проекта.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5DB68E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По сравнению с альтернативами вроде TeamCity, Jenkins или GitLab CI, GitHub Actions в нашем случае требует ме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ньше усилий на внедрение: репозиторий, workflow, secrets, pull requests и результаты запусков находятся в одной экосистеме.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26D6B1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Также важным фактором является стоимость: для текущих задач GitHub Actions можно использовать в рамках доступного бесплатного лимита, без необходимости отдельно разворачивать и поддерживать CI-сервер.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000000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4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Test reports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Allure Reports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60C9BB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ля отчетности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Allure Reports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потому что он дает более наглядный и удобный анализ результатов автотестов по сравнению с базовыми JUnit/XML-отчетами и стандартными отчетами CI.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3D7098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JUnit/XML хорошо подходит для передачи статусов в CI, но плохо читается человеком и не дает удобной детализации по шагам, вложениям и причинам падений. Встроенные отчеты GitHub Actions показывают факт успешного или неуспешного запуска, но недостаточны для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глубокого анализа автотестов.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1103A69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Allure позволяет видеть структуру test suites, шаги выполнения, ошибки, stack trace, screenshots, logs и attachments в одном отчете. Это ускоряет разбор падений и делает результаты автотестов понятными не только automation-инженерам, но и разработчикам, QA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и менеджерам.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000000A6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TMS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  <w:lang w:val="en-US"/>
              </w:rPr>
              <w:t xml:space="preserve">TODO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8" w:name="toc_sec_framework_architecture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Архитектура фреймворка автоматизации</w:t>
      </w:r>
      <w:r>
        <w:rPr>
          <w:rtl w:val="0"/>
        </w:rPr>
      </w:r>
      <w:bookmarkEnd w:id="1018"/>
      <w:r/>
      <w:r/>
    </w:p>
    <w:p>
      <w:pPr>
        <w:pBdr/>
        <w:spacing/>
        <w:ind/>
        <w:rPr/>
      </w:pPr>
      <w:r>
        <w:t xml:space="preserve">Фреймворк д</w:t>
      </w:r>
      <w:r>
        <w:t xml:space="preserve">елим на слои, чтобы тесты оставались читаемыми, а изменения в REST API, UI-локаторах, тестовых данных или окружении не требовали массовой правки сценариев. </w:t>
      </w:r>
      <w:r/>
    </w:p>
    <w:p w14:paraId="5D55BD58">
      <w:pPr>
        <w:pBdr/>
        <w:spacing/>
        <w:ind/>
        <w:rPr/>
      </w:pPr>
      <w:r>
        <w:t xml:space="preserve">Главное правило: зависимости идут сверху вниз, а нижние слои не импортируют тесты и бизнес-сценарии.</w:t>
      </w:r>
      <w:r/>
    </w:p>
    <w:tbl>
      <w:tblPr>
        <w:tblStyle w:val="906"/>
        <w:jc w:val="center"/>
        <w:tblW w:w="9360" w:type="dxa"/>
        <w:tblCellMar>
          <w:left w:w="100" w:type="dxa"/>
          <w:top w:w="100" w:type="dxa"/>
          <w:right w:w="100" w:type="dxa"/>
          <w:bottom w:w="10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>
        <w:trPr>
          <w:tblHeader/>
        </w:trPr>
        <w:tc>
          <w:tcPr>
            <w:shd w:val="clear" w:color="auto" w:fill="f2f2f2"/>
            <w:tcBorders/>
            <w:tcW w:w="2736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0"/>
              </w:rPr>
              <w:t xml:space="preserve">Слой</w:t>
            </w:r>
            <w:r/>
          </w:p>
        </w:tc>
        <w:tc>
          <w:tcPr>
            <w:shd w:val="clear" w:color="auto" w:fill="f2f2f2"/>
            <w:tcBorders/>
            <w:tcW w:w="6624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0"/>
              </w:rPr>
              <w:t xml:space="preserve">Что отвечает и где живет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1. Тесты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tests/ui, tests/api, tests/e2e. Описывают поведение и expected result; используют steps и fixtures; не содержат прямых HTTP-запросов, CSS/XPath-локаторов и тяжелой подготовки данных.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2. Шаги / business flows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steps или flows. Собирают продуктовые операции TeamCity в понятные методы: setup, authorize_agent, create_project_with_build_config, run_build_and_wait_result.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3. API clients и Page Objects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clients и pages. Общаются с TeamCity через REST API или Playwright; скрывают endpoints, payloads, локаторы, ожидания и retry-логику.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4. Модели и схемы данных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models или schemas. Описывают Project, BuildType, Build, Agent, User, Role, Permission, статусы и контракты ответов.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5. Fixtures, test data и cleanup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pytest fixtures и test data helpers. Готовят admin/limited users, tokens, уникальные имена, seed data; чистят данные через REST API или reset Docker-окружения.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6. Инфраструктура, конфигурация и отчеты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config, bootstrap, reporting. Env vars, Docker helpers, readiness checks, logging, Allure/JUnit reports, screenshots/traces для UI.</w:t>
            </w:r>
            <w:r/>
          </w:p>
        </w:tc>
      </w:tr>
    </w:tbl>
    <w:p w14:paraId="441144B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UI и API остаются в одном репозитории, потому что используют общие модели, fixtures, конфигурацию и отчетность.</w:t>
      </w:r>
      <w:r>
        <w:rPr>
          <w:highlight w:val="none"/>
        </w:rPr>
      </w:r>
      <w:r/>
    </w:p>
    <w:p w14:paraId="61FB08D6">
      <w:pPr>
        <w:pBdr/>
        <w:spacing/>
        <w:ind/>
        <w:rPr>
          <w:highlight w:val="none"/>
        </w:rPr>
      </w:pPr>
      <w:r>
        <w:t xml:space="preserve"> Разделение выполняется пакетами и ответственностями: UI-код не дублирует API-подготовку данных, а API-клиенты не зависят от Page Objects.</w:t>
      </w:r>
      <w:r>
        <w:rPr>
          <w:highlight w:val="none"/>
        </w:rPr>
      </w:r>
      <w:r>
        <w:rPr>
          <w:highlight w:val="none"/>
        </w:rPr>
      </w:r>
    </w:p>
    <w:p w14:paraId="4C40EB7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97B4A2C">
      <w:pPr>
        <w:pBdr/>
        <w:spacing/>
        <w:ind/>
        <w:rPr>
          <w:highlight w:val="none"/>
        </w:rPr>
      </w:pPr>
      <w:r>
        <w:rPr>
          <w:highlight w:val="none"/>
          <w:lang w:val="en-US"/>
        </w:rPr>
        <w:t xml:space="preserve">TODO UML</w:t>
      </w:r>
      <w:r>
        <w:rPr>
          <w:highlight w:val="none"/>
        </w:rPr>
      </w:r>
    </w:p>
    <w:p w14:paraId="5B2E2E8A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highlight w:val="none"/>
        </w:rPr>
      </w:r>
      <w:r>
        <w:rPr>
          <w:highlight w:val="none"/>
        </w:rPr>
      </w:r>
      <w:bookmarkStart w:id="1007" w:name="toc_sec_07"/>
      <w:r>
        <w:rPr>
          <w:highlight w:val="none"/>
        </w:rPr>
      </w:r>
      <w:r/>
    </w:p>
    <w:p w14:paraId="000000AB">
      <w:pPr>
        <w:pStyle w:val="894"/>
        <w:keepNext w:val="true"/>
        <w:pageBreakBefore w:val="false"/>
        <w:pBdr/>
        <w:spacing w:after="120" w:before="240"/>
        <w:ind/>
        <w:rPr>
          <w:highlight w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Тестовое окружение</w:t>
      </w:r>
      <w:r>
        <w:rPr>
          <w:rtl w:val="0"/>
        </w:rPr>
      </w:r>
      <w:bookmarkEnd w:id="1007"/>
      <w:r>
        <w:rPr>
          <w:highlight w:val="none"/>
        </w:rPr>
      </w:r>
      <w:r>
        <w:rPr>
          <w:highlight w:val="none"/>
        </w:rPr>
      </w:r>
    </w:p>
    <w:tbl>
      <w:tblPr>
        <w:tblStyle w:val="907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4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Окружение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Состав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Назначение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Local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Изучение продукта, ручная проверка setup wizard, разработка первых тестов.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Быстрый запуск P0/P1 автотестов на PR.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Production-like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PostgreSQL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Проверка внешней БД и близкого к production сценария.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DB Compatibility Nightly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Server + full Agent + MySQL/MariaDB/MS SQL/Oracle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Smoke-проверка совместимости с поддерживаемыми database backends.</w:t>
            </w:r>
            <w:r>
              <w:rPr>
                <w:rtl w:val="0"/>
              </w:rPr>
            </w:r>
            <w:r/>
          </w:p>
        </w:tc>
      </w:tr>
    </w:tbl>
    <w:p w14:paraId="000000BC">
      <w:pPr>
        <w:pStyle w:val="894"/>
        <w:keepNext w:val="true"/>
        <w:pageBreakBefore w:val="false"/>
        <w:pBdr/>
        <w:spacing w:after="120" w:before="240"/>
        <w:ind/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</w:p>
    <w:p w14:paraId="000000BD">
      <w:pPr>
        <w:pStyle w:val="894"/>
        <w:keepNext w:val="true"/>
        <w:pageBreakBefore w:val="false"/>
        <w:pBdr/>
        <w:spacing w:after="120" w:before="240"/>
        <w:ind/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Архитектура локального стенда: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 TODO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</w:p>
    <w:p w14:paraId="7D7FDA50">
      <w:pPr>
        <w:pBdr/>
        <w:spacing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</w:r>
      <w:r/>
    </w:p>
    <w:p w14:paraId="000000C2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8" w:name="toc_sec_08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Критичный MVP-сценарий автоматизации</w:t>
      </w:r>
      <w:r>
        <w:rPr>
          <w:rtl w:val="0"/>
        </w:rPr>
      </w:r>
      <w:bookmarkEnd w:id="1008"/>
      <w:r>
        <w:rPr>
          <w:lang w:val="en-US"/>
        </w:rPr>
        <w:t xml:space="preserve"> TODO</w:t>
      </w:r>
      <w:r/>
    </w:p>
    <w:p w14:paraId="000000C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  <w:r>
        <w:rPr>
          <w:rtl w:val="0"/>
        </w:rPr>
      </w:r>
      <w:r/>
    </w:p>
    <w:tbl>
      <w:tblPr>
        <w:tblStyle w:val="908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5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Шаг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Ожидаемый результат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Тип проверки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Поднять TeamCity Server и full Agent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Контейнеры запущены, сервер доступен на 8111.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Docker/Bootstrap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Пройти startup confirmation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TeamCity принимает первый запуск с новым data directory.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Выбрать Internal database / HSQLDB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Локальный стенд проходит database setup.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первого администратора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Admin создан, возможен login.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Проверить базовые роли и права доступа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выполняет критичные admin-действия; ограниченный пользователь не получает доступ к запрещенным действиям.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UI/API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Авторизовать local-agent-1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переходит из Unauthorized в Connected/Idle.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UI/API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project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Project появляется в TeamCity.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build configuration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configuration создана и готова к запуску.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Запустить простой build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стартует на agent и завершается ожидаемым статусом.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API/E2E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Проверить build result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Статус build доступен через REST API и UI.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API/UI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0E2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E3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9" w:name="toc_sec_09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UI Automation Scope</w:t>
      </w:r>
      <w:r>
        <w:rPr>
          <w:rtl w:val="0"/>
        </w:rPr>
      </w:r>
      <w:bookmarkEnd w:id="1009"/>
      <w:r>
        <w:rPr>
          <w:lang w:val="en-US"/>
        </w:rPr>
        <w:t xml:space="preserve"> TODO</w:t>
      </w:r>
      <w:r/>
    </w:p>
    <w:p w14:paraId="000000E4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UI автоматизация покрывает только пользовательские flows, которые невозможно надежно заменить API 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на первом этапе: startup confirmation, database setup, создание первого администратора, login и authorization первого agent. Детальная подготовка данных, создание project/build configuration, запуск build и проверка статусов выполняются на уровне REST API.</w:t>
      </w:r>
      <w:r>
        <w:rPr>
          <w:rtl w:val="0"/>
        </w:rPr>
      </w:r>
      <w:r/>
    </w:p>
    <w:p w14:paraId="000000E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0" w:name="toc_sec_10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Стратегия тестовых данных</w:t>
      </w:r>
      <w:r>
        <w:rPr>
          <w:rtl w:val="0"/>
        </w:rPr>
      </w:r>
      <w:bookmarkEnd w:id="1010"/>
      <w:r/>
      <w:r/>
    </w:p>
    <w:p w14:paraId="000000E6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Цель стратегии тестовых данных — обеспечить стабильные, воспроизводимые и безопасные данные для UI, API и E2E тестирования TeamCity.</w:t>
      </w:r>
      <w:r>
        <w:rPr>
          <w:rtl w:val="0"/>
        </w:rPr>
      </w:r>
      <w:r/>
    </w:p>
    <w:p w14:paraId="000000E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каждого теста создавать уникальные project/build configuration names с префиксом автотестов.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Основная подготовка данных выполняется через REST API, UI используется только там, где проверяется сам пользовательский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Cleanup выполнять через REST API либо полным reset окружения в Docker.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Не хранить реальные секреты, пароли и access tokens в репозитории.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CI использовать временные credentials из переменных окружения.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Прямой доступ к базе данных использовать только для отладки; основная валидация выполняется через REST API и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09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6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Тип теста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Источник данных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Smoke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Setup wizard + минимальные данные, созданные в самом UI flow.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 Tests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API-generated projects, build configurations, builds, tokens.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E2E Tests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Комбинация UI bootstrap + API setup + Docker reset/cleanup.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 о финальном наборе seed data для внешних БД.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Roles / Permissions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user + ограниченные test users; финальная матрица ролей уточняется TODO.</w:t>
            </w:r>
            <w:r/>
          </w:p>
        </w:tc>
      </w:tr>
    </w:tbl>
    <w:p w14:paraId="000000F7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F8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1" w:name="toc_sec_1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Тестовые сценарии и скоуп</w:t>
      </w:r>
      <w:r>
        <w:rPr>
          <w:rtl w:val="0"/>
        </w:rPr>
      </w:r>
      <w:bookmarkEnd w:id="1011"/>
      <w:r>
        <w:rPr>
          <w:lang w:val="en-US"/>
        </w:rPr>
        <w:t xml:space="preserve"> TODO</w:t>
      </w:r>
      <w:r/>
    </w:p>
    <w:tbl>
      <w:tblPr>
        <w:tblStyle w:val="910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7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Группа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In Scope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Out of Scope на первые 4 недели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Initial Setup / First Admin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Startup confirmation, выбор HSQLDB, создание admin, login.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Все нестандартные enterprise auth flows.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Roles / Permissions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full access, ограниченный пользователь, negative checks для project, build configuration, build run и agent authorization.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Полная матрица всех ролей, групп и enterprise auth flows.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Management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Unauthorized agent, authorization, connected/idle state.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Сложные agent pools, cloud agents, масштабирование agents.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Core REST API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Server info, projects, build configurations, builds, statuses.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Полное покрытие всех REST endpoints.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Execution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Простой build, success/failure status, logs.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Все runners и plugin-specific behavior.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Database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HSQLDB fast path, PostgreSQL production-like smoke.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Полный regression на каждой БД.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 Pipeline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Поднять стенд, bootstrap, запустить suites, собрать отчет.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Полная release инфраструктура и production deployment.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Security / Authorization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login, token usage, agent authorization; RBAC вынесен в отдельную группу.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Полный pentest/security audit.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Ссылка на тест-кейсы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TMS или файл с ручными тест-кейсами пока не указан.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114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1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2" w:name="toc_sec_1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Поэтапный план</w:t>
      </w:r>
      <w:r>
        <w:rPr>
          <w:rtl w:val="0"/>
        </w:rPr>
      </w:r>
      <w:bookmarkEnd w:id="1012"/>
      <w:r>
        <w:rPr>
          <w:lang w:val="en-US"/>
        </w:rPr>
        <w:t xml:space="preserve"> TODO</w:t>
      </w:r>
      <w:r/>
    </w:p>
    <w:tbl>
      <w:tblPr>
        <w:tblStyle w:val="911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8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Неделя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Фокус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Результат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1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Ручные сценарии, тест-дизайн, тестируемость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Описаны P0/P1 сценарии: setup, first admin, roles/permissions, agent, project, build configuration, build run, REST checks. Зафиксированы риски и TODO.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2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автотесты + базовый framework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Автоматизирован критичный UI flow: startup confirmation, database selection, first admin, login, agent authorization, базовые role-based UI checks.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3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 автотесты + build lifecycle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Автоматизированы REST API сценарии: server readiness, project, build configuration, run build, build status, permission negative checks, cleanup.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4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Pipeline, bootstrap, отчеты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Собран CI flow: поднятие стенда, bootstrap, запуск UI/API suites, отчетность и стабилизация.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125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26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3" w:name="toc_sec_13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Необходимые ресурсы</w:t>
      </w:r>
      <w:r>
        <w:rPr>
          <w:rtl w:val="0"/>
        </w:rPr>
      </w:r>
      <w:bookmarkEnd w:id="1013"/>
      <w:r>
        <w:rPr>
          <w:lang w:val="en-US"/>
        </w:rPr>
        <w:t xml:space="preserve"> TODO</w:t>
      </w:r>
      <w:r/>
    </w:p>
    <w:tbl>
      <w:tblPr>
        <w:tblStyle w:val="91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9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Задача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Ответственный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Ожидание / статус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Настройка CI/CD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 / DevOps: нет информации по конкретному владельцу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Готов pipeline для bootstrap, запуска suites, публикации результатов и артефактов.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Документирование тест-кейсов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P0/P1 сценарии расписаны до автоматизации; TMS не выбрана.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Создание framework автоматизации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Единая структура Pytest/Playwright, фикстуры, cleanup, логирование, отчетность.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Доступы и credentials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Нужны временные credentials/token для admin и ограниченных test users через переменные окружения CI.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Настройка отчетности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Инструмент отчетности не выбран; минимум нужны pass/fail, duration, logs, UI screenshots.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Code Coverage / Quality Gate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Unit tests существуют на стороне продукта, но исходный код и их coverage вне зоны проекта; для нашего black-box scope quality gate оценивается по P0/P1 UI/API/E2E pass rate.</w:t>
            </w:r>
            <w:r/>
          </w:p>
        </w:tc>
      </w:tr>
    </w:tbl>
    <w:p w14:paraId="0000013C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4E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4F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5" w:name="toc_sec_1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Риски</w:t>
      </w:r>
      <w:r>
        <w:rPr>
          <w:rtl w:val="0"/>
        </w:rPr>
      </w:r>
      <w:bookmarkEnd w:id="1015"/>
      <w:r/>
      <w:r/>
    </w:p>
    <w:tbl>
      <w:tblPr>
        <w:tblStyle w:val="91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0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18"/>
              </w:rPr>
              <w:t xml:space="preserve">Риск</w:t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18"/>
              </w:rPr>
              <w:t xml:space="preserve">Влияние</w:t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18"/>
              </w:rPr>
              <w:t xml:space="preserve">Как минимизировать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Состояние data directory и agent conf делает прогоны невоспроизводимыми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Грязные teamcity-data или teamcity-agent-conf могут скрыть ошибки first start, менять результат тестов и создавать зависимость от предыдущего запуска.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Разделить fresh/reuse сценарии, явно сбрасывать Docker-состояние для E2E, использовать уникальные имена сущностей и проверять cleanup после тестов.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Fast CI на HSQLDB не покрывает production-like поведение внешних БД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Ошибки схемы, миграций, блокировок или SQL-совместимости с PostgreSQL и другими БД могут проявиться поздно.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Оставить HSQLDB для быстрого PR-контурa, добавить PostgreSQL production-like job на main/release и nightly compatibility smoke для MySQL, MariaDB, MS SQL Server и Oracle.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UI </w:t>
            </w:r>
            <w:r>
              <w:rPr>
                <w:b/>
                <w:sz w:val="17"/>
                <w:lang w:val="ru-RU"/>
              </w:rPr>
              <w:t xml:space="preserve">автотесты становятся </w:t>
            </w:r>
            <w:r>
              <w:rPr>
                <w:b/>
                <w:sz w:val="17"/>
                <w:lang w:val="en-US"/>
              </w:rPr>
              <w:t xml:space="preserve">flaky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P0 UI flow снижает доверие к автотестам, ухудшает Pass Rate и мешает достигнуть Flaky Rate &lt;= 3%.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Оставить UI только для незаменимых flows, использовать Playwright auto-wait, trace, screenshots/video, стабильные локаторы и переносить подготовку данных в API.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Матрица ролей и прав доступа не зафиксирована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Roles / Permissions suite может проверить только поверхностный happy path и пропустить лишние права у ограниченного пользователя.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До автоматизации согласовать минимальную RBAC-матрицу: admin и limited user. Добавить positive admin checks и negative checks для project, build configuration, build run и agent authorization.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Тестовые данные конфликтуют между прогонами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Повторные project/build configuration/user/token names создают ложные падения, зависимость от порядка тестов и невозможность надежного rerun.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Создавать уникальные имена с префиксом автотестов, изолировать fixtures, чистить данные через REST API или полный Docker reset, проверять результат cleanup.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Нет готовых ручных тест-кейсов и выбранной TMS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Команда может автоматизировать технически удобные, но не самые важные сценарии; P0/P1 coverage будет трудно доказать.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Неделю 1 использовать для тест-дизайна, зафиксировать P0/P1 scope, связать автотесты с тест-кейсами после выбора TMS и пересматривать покрытие на demo.</w:t>
            </w:r>
            <w:r/>
          </w:p>
        </w:tc>
      </w:tr>
    </w:tbl>
    <w:p w14:paraId="0000016B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6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6" w:name="toc_sec_1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Отслеживание процесса</w:t>
      </w:r>
      <w:r>
        <w:rPr>
          <w:rtl w:val="0"/>
        </w:rPr>
      </w:r>
      <w:bookmarkEnd w:id="1016"/>
      <w:r/>
      <w:r/>
    </w:p>
    <w:p w14:paraId="0000016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Еженедельный demo-результат по завершенной части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6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Отчетность автотестов в CI: pass/fail, duration, flaky failures, логи и screenshots для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3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Структура команды тестирования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en-US"/>
        </w:rPr>
        <w:t xml:space="preserve"> TODO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</w:r>
      <w:r/>
    </w:p>
    <w:tbl>
      <w:tblPr>
        <w:tblStyle w:val="915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2448"/>
        <w:tblGridChange w:id="1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ffffff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66F8DE2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 xml:space="preserve">ФИО</w:t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Роль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Контакты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5870D7D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6A8767A8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C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3AD3EC10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5FED0C3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Email:</w:t>
            </w:r>
            <w:hyperlink r:id="rId9" w:tooltip="mailto:ekaterina-konchina@yandex.ru" w:history="1">
              <w:r>
                <w:rPr>
                  <w:rFonts w:ascii="Calibri" w:hAnsi="Calibri" w:eastAsia="Calibri" w:cs="Calibri"/>
                  <w:sz w:val="19"/>
                  <w:szCs w:val="19"/>
                  <w:rtl w:val="0"/>
                </w:rPr>
                <w:t xml:space="preserve">ekaterina-konchina@yandex.ru</w:t>
              </w:r>
            </w:hyperlink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  <w:p w14:paraId="5A1F41FC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Github: ekonchina</w:t>
            </w:r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  <w:p w14:paraId="0000017F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</w:r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</w:tc>
      </w:tr>
    </w:tbl>
    <w:p w14:paraId="00000180">
      <w:pPr>
        <w:pageBreakBefore w:val="false"/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panose1 w:val="000005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n" w:eastAsia="zh-CN" w:bidi="ar-SA"/>
      </w:rPr>
    </w:rPrDefault>
    <w:pPrDefault>
      <w:pPr>
        <w:pBdr/>
        <w:spacing w:after="12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Table Grid Light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8">
    <w:name w:val="Heading 7"/>
    <w:basedOn w:val="893"/>
    <w:next w:val="893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9">
    <w:name w:val="Heading 8"/>
    <w:basedOn w:val="893"/>
    <w:next w:val="893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0">
    <w:name w:val="Heading 9"/>
    <w:basedOn w:val="893"/>
    <w:next w:val="893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1" w:default="1">
    <w:name w:val="Default Paragraph Font"/>
    <w:uiPriority w:val="1"/>
    <w:semiHidden/>
    <w:unhideWhenUsed/>
    <w:pPr>
      <w:pBdr/>
      <w:spacing/>
      <w:ind/>
    </w:pPr>
  </w:style>
  <w:style w:type="numbering" w:styleId="842" w:default="1">
    <w:name w:val="No List"/>
    <w:uiPriority w:val="99"/>
    <w:semiHidden/>
    <w:unhideWhenUsed/>
    <w:pPr>
      <w:pBdr/>
      <w:spacing/>
      <w:ind/>
    </w:pPr>
  </w:style>
  <w:style w:type="character" w:styleId="843">
    <w:name w:val="Heading 1 Char"/>
    <w:basedOn w:val="841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1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1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1"/>
    <w:link w:val="89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1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1"/>
    <w:link w:val="89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1"/>
    <w:link w:val="8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1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1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>
    <w:name w:val="Title Char"/>
    <w:basedOn w:val="841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Subtitle Char"/>
    <w:basedOn w:val="841"/>
    <w:link w:val="9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3"/>
    <w:next w:val="893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1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6">
    <w:name w:val="List Paragraph"/>
    <w:basedOn w:val="893"/>
    <w:uiPriority w:val="34"/>
    <w:qFormat/>
    <w:pPr>
      <w:pBdr/>
      <w:spacing/>
      <w:ind w:left="720"/>
      <w:contextualSpacing w:val="true"/>
    </w:pPr>
  </w:style>
  <w:style w:type="character" w:styleId="857">
    <w:name w:val="Intense Emphasis"/>
    <w:basedOn w:val="8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8">
    <w:name w:val="Intense Quote"/>
    <w:basedOn w:val="893"/>
    <w:next w:val="893"/>
    <w:link w:val="8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9">
    <w:name w:val="Intense Quote Char"/>
    <w:basedOn w:val="841"/>
    <w:link w:val="8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0">
    <w:name w:val="Intense Reference"/>
    <w:basedOn w:val="8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1">
    <w:name w:val="No Spacing"/>
    <w:basedOn w:val="893"/>
    <w:uiPriority w:val="1"/>
    <w:qFormat/>
    <w:pPr>
      <w:pBdr/>
      <w:spacing w:after="0" w:line="240" w:lineRule="auto"/>
      <w:ind/>
    </w:pPr>
  </w:style>
  <w:style w:type="character" w:styleId="862">
    <w:name w:val="Subtle Emphasis"/>
    <w:basedOn w:val="8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1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1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3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1"/>
    <w:link w:val="867"/>
    <w:uiPriority w:val="99"/>
    <w:pPr>
      <w:pBdr/>
      <w:spacing/>
      <w:ind/>
    </w:pPr>
  </w:style>
  <w:style w:type="paragraph" w:styleId="869">
    <w:name w:val="Footer"/>
    <w:basedOn w:val="893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1"/>
    <w:link w:val="869"/>
    <w:uiPriority w:val="99"/>
    <w:pPr>
      <w:pBdr/>
      <w:spacing/>
      <w:ind/>
    </w:pPr>
  </w:style>
  <w:style w:type="paragraph" w:styleId="871">
    <w:name w:val="Caption"/>
    <w:basedOn w:val="893"/>
    <w:next w:val="8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3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3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1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3"/>
    <w:next w:val="893"/>
    <w:uiPriority w:val="39"/>
    <w:unhideWhenUsed/>
    <w:pPr>
      <w:pBdr/>
      <w:spacing w:after="100"/>
      <w:ind/>
    </w:pPr>
  </w:style>
  <w:style w:type="paragraph" w:styleId="881">
    <w:name w:val="toc 2"/>
    <w:basedOn w:val="893"/>
    <w:next w:val="893"/>
    <w:uiPriority w:val="39"/>
    <w:unhideWhenUsed/>
    <w:pPr>
      <w:pBdr/>
      <w:spacing w:after="100"/>
      <w:ind w:left="220"/>
    </w:pPr>
  </w:style>
  <w:style w:type="paragraph" w:styleId="882">
    <w:name w:val="toc 3"/>
    <w:basedOn w:val="893"/>
    <w:next w:val="893"/>
    <w:uiPriority w:val="39"/>
    <w:unhideWhenUsed/>
    <w:pPr>
      <w:pBdr/>
      <w:spacing w:after="100"/>
      <w:ind w:left="440"/>
    </w:pPr>
  </w:style>
  <w:style w:type="paragraph" w:styleId="883">
    <w:name w:val="toc 4"/>
    <w:basedOn w:val="893"/>
    <w:next w:val="893"/>
    <w:uiPriority w:val="39"/>
    <w:unhideWhenUsed/>
    <w:pPr>
      <w:pBdr/>
      <w:spacing w:after="100"/>
      <w:ind w:left="660"/>
    </w:pPr>
  </w:style>
  <w:style w:type="paragraph" w:styleId="884">
    <w:name w:val="toc 5"/>
    <w:basedOn w:val="893"/>
    <w:next w:val="893"/>
    <w:uiPriority w:val="39"/>
    <w:unhideWhenUsed/>
    <w:pPr>
      <w:pBdr/>
      <w:spacing w:after="100"/>
      <w:ind w:left="880"/>
    </w:pPr>
  </w:style>
  <w:style w:type="paragraph" w:styleId="885">
    <w:name w:val="toc 6"/>
    <w:basedOn w:val="893"/>
    <w:next w:val="893"/>
    <w:uiPriority w:val="39"/>
    <w:unhideWhenUsed/>
    <w:pPr>
      <w:pBdr/>
      <w:spacing w:after="100"/>
      <w:ind w:left="1100"/>
    </w:pPr>
  </w:style>
  <w:style w:type="paragraph" w:styleId="886">
    <w:name w:val="toc 7"/>
    <w:basedOn w:val="893"/>
    <w:next w:val="893"/>
    <w:uiPriority w:val="39"/>
    <w:unhideWhenUsed/>
    <w:pPr>
      <w:pBdr/>
      <w:spacing w:after="100"/>
      <w:ind w:left="1320"/>
    </w:pPr>
  </w:style>
  <w:style w:type="paragraph" w:styleId="887">
    <w:name w:val="toc 8"/>
    <w:basedOn w:val="893"/>
    <w:next w:val="893"/>
    <w:uiPriority w:val="39"/>
    <w:unhideWhenUsed/>
    <w:pPr>
      <w:pBdr/>
      <w:spacing w:after="100"/>
      <w:ind w:left="1540"/>
    </w:pPr>
  </w:style>
  <w:style w:type="paragraph" w:styleId="888">
    <w:name w:val="toc 9"/>
    <w:basedOn w:val="893"/>
    <w:next w:val="893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1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3"/>
    <w:next w:val="893"/>
    <w:uiPriority w:val="99"/>
    <w:unhideWhenUsed/>
    <w:pPr>
      <w:pBdr/>
      <w:spacing w:after="0" w:afterAutospacing="0"/>
      <w:ind/>
    </w:pPr>
  </w:style>
  <w:style w:type="table" w:styleId="892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 w:default="1">
    <w:name w:val="Normal"/>
    <w:pPr>
      <w:pBdr/>
      <w:spacing/>
      <w:ind/>
    </w:pPr>
  </w:style>
  <w:style w:type="paragraph" w:styleId="894">
    <w:name w:val="Heading 1"/>
    <w:basedOn w:val="893"/>
    <w:next w:val="893"/>
    <w:pPr>
      <w:keepNext w:val="true"/>
      <w:keepLines w:val="true"/>
      <w:pBdr/>
      <w:spacing w:after="160" w:before="320"/>
      <w:ind/>
    </w:pPr>
    <w:rPr>
      <w:rFonts w:ascii="Calibri" w:hAnsi="Calibri" w:eastAsia="Calibri" w:cs="Calibri"/>
      <w:b/>
      <w:bCs/>
      <w:color w:val="2e74b5"/>
      <w:sz w:val="32"/>
      <w:szCs w:val="32"/>
    </w:rPr>
  </w:style>
  <w:style w:type="paragraph" w:styleId="895">
    <w:name w:val="Heading 2"/>
    <w:basedOn w:val="893"/>
    <w:next w:val="893"/>
    <w:pPr>
      <w:keepNext w:val="true"/>
      <w:keepLines w:val="true"/>
      <w:pBdr/>
      <w:spacing w:after="120" w:before="240"/>
      <w:ind/>
    </w:pPr>
    <w:rPr>
      <w:rFonts w:ascii="Calibri" w:hAnsi="Calibri" w:eastAsia="Calibri" w:cs="Calibri"/>
      <w:b/>
      <w:bCs/>
      <w:color w:val="2e74b5"/>
      <w:sz w:val="26"/>
      <w:szCs w:val="26"/>
    </w:rPr>
  </w:style>
  <w:style w:type="paragraph" w:styleId="896">
    <w:name w:val="Heading 3"/>
    <w:basedOn w:val="893"/>
    <w:next w:val="893"/>
    <w:pPr>
      <w:keepNext w:val="true"/>
      <w:keepLines w:val="true"/>
      <w:pBdr/>
      <w:spacing w:after="80" w:before="160"/>
      <w:ind/>
    </w:pPr>
    <w:rPr>
      <w:rFonts w:ascii="Calibri" w:hAnsi="Calibri" w:eastAsia="Calibri" w:cs="Calibri"/>
      <w:b/>
      <w:bCs/>
      <w:color w:val="1f4d78"/>
      <w:sz w:val="24"/>
      <w:szCs w:val="24"/>
    </w:rPr>
  </w:style>
  <w:style w:type="paragraph" w:styleId="897">
    <w:name w:val="Heading 4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b/>
      <w:bCs/>
      <w:i/>
      <w:iCs/>
      <w:color w:val="4f81bd"/>
    </w:rPr>
  </w:style>
  <w:style w:type="paragraph" w:styleId="898">
    <w:name w:val="Heading 5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color w:val="243f61"/>
    </w:rPr>
  </w:style>
  <w:style w:type="paragraph" w:styleId="899">
    <w:name w:val="Heading 6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i/>
      <w:iCs/>
      <w:color w:val="243f61"/>
    </w:rPr>
  </w:style>
  <w:style w:type="paragraph" w:styleId="900">
    <w:name w:val="Title"/>
    <w:basedOn w:val="893"/>
    <w:next w:val="893"/>
    <w:pPr>
      <w:pBdr>
        <w:bottom w:val="single" w:color="4f81bd" w:sz="8" w:space="4"/>
      </w:pBdr>
      <w:spacing w:after="120" w:line="240" w:lineRule="auto"/>
      <w:ind/>
    </w:pPr>
    <w:rPr>
      <w:rFonts w:ascii="Calibri" w:hAnsi="Calibri" w:eastAsia="Calibri" w:cs="Calibri"/>
      <w:b/>
      <w:bCs/>
      <w:color w:val="0b2545"/>
      <w:sz w:val="44"/>
      <w:szCs w:val="44"/>
    </w:rPr>
  </w:style>
  <w:style w:type="paragraph" w:styleId="901">
    <w:name w:val="Subtitle"/>
    <w:basedOn w:val="893"/>
    <w:next w:val="893"/>
    <w:pPr>
      <w:pBdr/>
      <w:spacing w:after="240"/>
      <w:ind/>
    </w:pPr>
    <w:rPr>
      <w:rFonts w:ascii="Calibri" w:hAnsi="Calibri" w:eastAsia="Calibri" w:cs="Calibri"/>
      <w:i/>
      <w:iCs/>
      <w:color w:val="5a5a5a"/>
      <w:sz w:val="26"/>
      <w:szCs w:val="26"/>
    </w:rPr>
  </w:style>
  <w:style w:type="table" w:styleId="902">
    <w:name w:val="StGen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StGen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StGen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StGen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StGen4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StGen5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StGen6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StGen7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StGen8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StGen9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StGen1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StGen1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StGen1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StGen1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mailto:ekaterina-konchina@yandex.r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6</cp:revision>
  <dcterms:modified xsi:type="dcterms:W3CDTF">2026-07-01T15:52:42Z</dcterms:modified>
</cp:coreProperties>
</file>