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 w:eastAsia="Calibri"/>
          <w:b/>
          <w:color w:val="000000"/>
          <w:sz w:val="48"/>
        </w:rPr>
        <w:t>Новый опыт в проекте</w:t>
      </w:r>
    </w:p>
    <w:p>
      <w:pPr>
        <w:spacing w:after="400"/>
      </w:pPr>
      <w:r>
        <w:rPr>
          <w:rFonts w:ascii="Calibri" w:hAnsi="Calibri" w:eastAsia="Calibri"/>
          <w:color w:val="5F6368"/>
          <w:sz w:val="26"/>
        </w:rPr>
        <w:t>Что нового изучили и реализовали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Кто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Что нового узнала и сделала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sz w:val="21"/>
              </w:rPr>
              <w:t>Екатерина Кончина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sz w:val="21"/>
              </w:rPr>
              <w:t>Создала отдельный pipeline для regression на PostgreSQL — это отдельный тип pipeline. Далее настроила параллельный запуск тестов и добавила клиент для проверки данных в базе данных.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F6368"/>
        <w:sz w:val="18"/>
      </w:rPr>
      <w:t>TEAMCITY AUTOTESTS  •  РЕЗУЛЬТАТЫ ОБУЧЕНИЯ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