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701"/>
        <w:pBdr/>
        <w:spacing/>
        <w:ind/>
        <w:rPr/>
      </w:pPr>
      <w:r>
        <w:rPr>
          <w:rtl w:val="0"/>
        </w:rPr>
        <w:t xml:space="preserve">Тест План</w:t>
      </w:r>
      <w:r/>
    </w:p>
    <w:p w14:paraId="00000002">
      <w:pPr>
        <w:pStyle w:val="702"/>
        <w:pBdr/>
        <w:spacing/>
        <w:ind/>
        <w:rPr/>
      </w:pPr>
      <w:r>
        <w:rPr>
          <w:rtl w:val="0"/>
        </w:rPr>
        <w:t xml:space="preserve">по автоматизации тестирования TeamCity</w:t>
      </w:r>
      <w:r/>
    </w:p>
    <w:p w14:paraId="00000003">
      <w:pPr>
        <w:pBdr/>
        <w:spacing w:line="259" w:lineRule="auto"/>
        <w:ind/>
        <w:rPr/>
      </w:pPr>
      <w:r>
        <w:rPr>
          <w:color w:val="505050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695"/>
        <w:pBdr/>
        <w:spacing w:after="120" w:before="240"/>
        <w:ind/>
        <w:rPr/>
      </w:pPr>
      <w:r>
        <w:rPr>
          <w:rtl w:val="0"/>
        </w:rPr>
        <w:t xml:space="preserve">Содержание</w:t>
      </w:r>
      <w:r/>
    </w:p>
    <w:p w14:paraId="00000005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js6aynpiz29s" w:anchor="js6aynpiz29s" w:history="1">
        <w:r>
          <w:rPr>
            <w:color w:val="0563c1"/>
            <w:u w:val="single"/>
            <w:rtl w:val="0"/>
          </w:rPr>
          <w:t xml:space="preserve">Исходные условия проекта</w:t>
        </w:r>
      </w:hyperlink>
      <w:r>
        <w:rPr>
          <w:rtl w:val="0"/>
        </w:rPr>
      </w:r>
      <w:r>
        <w:rPr>
          <w:color w:val="000000"/>
        </w:rPr>
      </w:r>
    </w:p>
    <w:p w14:paraId="00000006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bjgds5eo772b" w:anchor="bjgds5eo772b" w:history="1">
        <w:r>
          <w:rPr>
            <w:color w:val="0563c1"/>
            <w:u w:val="single"/>
            <w:rtl w:val="0"/>
          </w:rPr>
          <w:t xml:space="preserve">Цель плана</w:t>
        </w:r>
      </w:hyperlink>
      <w:r>
        <w:rPr>
          <w:rtl w:val="0"/>
        </w:rPr>
      </w:r>
      <w:r>
        <w:rPr>
          <w:color w:val="000000"/>
        </w:rPr>
      </w:r>
    </w:p>
    <w:p w14:paraId="00000007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z1jvhaheprb" w:anchor="z1jvhaheprb" w:history="1">
        <w:r>
          <w:rPr>
            <w:color w:val="0563c1"/>
            <w:u w:val="single"/>
            <w:rtl w:val="0"/>
          </w:rPr>
          <w:t xml:space="preserve">Метрики продукта и автоматизации</w:t>
        </w:r>
      </w:hyperlink>
      <w:r>
        <w:rPr>
          <w:rtl w:val="0"/>
        </w:rPr>
      </w:r>
      <w:r>
        <w:rPr>
          <w:color w:val="000000"/>
        </w:rPr>
      </w:r>
    </w:p>
    <w:p w14:paraId="00000008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y85jlrl5l9r" w:anchor="y85jlrl5l9r" w:history="1">
        <w:r>
          <w:rPr>
            <w:color w:val="0563c1"/>
            <w:u w:val="single"/>
            <w:rtl w:val="0"/>
          </w:rPr>
          <w:t xml:space="preserve">Аспекты качества продукта</w:t>
        </w:r>
      </w:hyperlink>
      <w:r>
        <w:rPr>
          <w:rtl w:val="0"/>
        </w:rPr>
      </w:r>
      <w:r>
        <w:rPr>
          <w:color w:val="000000"/>
        </w:rPr>
      </w:r>
    </w:p>
    <w:p w14:paraId="00000009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t437rpsedu4q" w:anchor="t437rpsedu4q" w:history="1">
        <w:r>
          <w:rPr>
            <w:color w:val="0563c1"/>
            <w:u w:val="single"/>
            <w:rtl w:val="0"/>
          </w:rPr>
          <w:t xml:space="preserve">Виды и уровни тестирования</w:t>
        </w:r>
      </w:hyperlink>
      <w:r>
        <w:rPr>
          <w:rtl w:val="0"/>
        </w:rPr>
      </w:r>
      <w:r>
        <w:rPr>
          <w:color w:val="000000"/>
        </w:rPr>
      </w:r>
    </w:p>
    <w:p w14:paraId="0000000A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8a5iybqixmrt" w:anchor="8a5iybqixmrt" w:history="1">
        <w:r>
          <w:rPr>
            <w:color w:val="0563c1"/>
            <w:u w:val="single"/>
            <w:rtl w:val="0"/>
          </w:rPr>
          <w:t xml:space="preserve">Метрики качества автоматизации</w:t>
        </w:r>
      </w:hyperlink>
      <w:r>
        <w:rPr>
          <w:rtl w:val="0"/>
        </w:rPr>
      </w:r>
      <w:r>
        <w:rPr>
          <w:color w:val="000000"/>
        </w:rPr>
      </w:r>
    </w:p>
    <w:p w14:paraId="0000000B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kbb2byj8ysag" w:anchor="kbb2byj8ysag" w:history="1">
        <w:r>
          <w:rPr>
            <w:color w:val="0563c1"/>
            <w:u w:val="single"/>
            <w:rtl w:val="0"/>
          </w:rPr>
          <w:t xml:space="preserve">Расчет ROI автоматизации</w:t>
        </w:r>
      </w:hyperlink>
      <w:r>
        <w:rPr>
          <w:rtl w:val="0"/>
        </w:rPr>
      </w:r>
      <w:r>
        <w:rPr>
          <w:color w:val="000000"/>
        </w:rPr>
      </w:r>
    </w:p>
    <w:p w14:paraId="0000000C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shz7ahca5lqa" w:anchor="shz7ahca5lqa" w:history="1">
        <w:r>
          <w:rPr>
            <w:color w:val="0563c1"/>
            <w:u w:val="single"/>
            <w:rtl w:val="0"/>
          </w:rPr>
          <w:t xml:space="preserve">Стек автоматизации</w:t>
        </w:r>
      </w:hyperlink>
      <w:r>
        <w:rPr>
          <w:rtl w:val="0"/>
        </w:rPr>
      </w:r>
      <w:r>
        <w:rPr>
          <w:color w:val="000000"/>
        </w:rPr>
      </w:r>
    </w:p>
    <w:p w14:paraId="0000000D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3l75zvzhh8k" w:anchor="3l75zvzhh8k" w:history="1">
        <w:r>
          <w:rPr>
            <w:color w:val="0563c1"/>
            <w:u w:val="single"/>
            <w:rtl w:val="0"/>
          </w:rPr>
          <w:t xml:space="preserve">Архитектура фреймворка автоматизации</w:t>
        </w:r>
      </w:hyperlink>
      <w:r>
        <w:rPr>
          <w:rtl w:val="0"/>
        </w:rPr>
      </w:r>
      <w:r>
        <w:rPr>
          <w:color w:val="000000"/>
        </w:rPr>
      </w:r>
    </w:p>
    <w:p w14:paraId="0000000E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s3cnhw9yxkja" w:anchor="s3cnhw9yxkja" w:history="1">
        <w:r>
          <w:rPr>
            <w:color w:val="0563c1"/>
            <w:u w:val="single"/>
            <w:rtl w:val="0"/>
          </w:rPr>
          <w:t xml:space="preserve">Тестовое окружение</w:t>
        </w:r>
      </w:hyperlink>
      <w:r>
        <w:rPr>
          <w:rtl w:val="0"/>
        </w:rPr>
      </w:r>
      <w:r>
        <w:rPr>
          <w:color w:val="000000"/>
        </w:rPr>
      </w:r>
    </w:p>
    <w:p w14:paraId="0000000F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e4vxp8heps31" w:anchor="e4vxp8heps31" w:history="1">
        <w:r>
          <w:rPr>
            <w:color w:val="0563c1"/>
            <w:u w:val="single"/>
            <w:rtl w:val="0"/>
          </w:rPr>
          <w:t xml:space="preserve">Критичный MVP-сценарий автоматизации</w:t>
        </w:r>
      </w:hyperlink>
      <w:r>
        <w:rPr>
          <w:rtl w:val="0"/>
        </w:rPr>
      </w:r>
      <w:r>
        <w:rPr>
          <w:color w:val="000000"/>
        </w:rPr>
      </w:r>
    </w:p>
    <w:p w14:paraId="00000010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joghio4kfx4v" w:anchor="joghio4kfx4v" w:history="1">
        <w:r>
          <w:rPr>
            <w:color w:val="0563c1"/>
            <w:u w:val="single"/>
            <w:rtl w:val="0"/>
          </w:rPr>
          <w:t xml:space="preserve">UI Automation Scope</w:t>
        </w:r>
      </w:hyperlink>
      <w:r>
        <w:rPr>
          <w:rtl w:val="0"/>
        </w:rPr>
      </w:r>
      <w:r>
        <w:rPr>
          <w:color w:val="000000"/>
        </w:rPr>
      </w:r>
    </w:p>
    <w:p w14:paraId="00000011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jcywmhet1p35" w:anchor="jcywmhet1p35" w:history="1">
        <w:r>
          <w:rPr>
            <w:color w:val="0563c1"/>
            <w:u w:val="single"/>
            <w:rtl w:val="0"/>
          </w:rPr>
          <w:t xml:space="preserve">Стратегия тестовых данных</w:t>
        </w:r>
      </w:hyperlink>
      <w:r>
        <w:rPr>
          <w:rtl w:val="0"/>
        </w:rPr>
      </w:r>
      <w:r>
        <w:rPr>
          <w:color w:val="000000"/>
        </w:rPr>
      </w:r>
    </w:p>
    <w:p w14:paraId="00000012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4jldl3v1wnlz" w:anchor="4jldl3v1wnlz" w:history="1">
        <w:r>
          <w:rPr>
            <w:color w:val="0563c1"/>
            <w:u w:val="single"/>
            <w:rtl w:val="0"/>
          </w:rPr>
          <w:t xml:space="preserve">Тестовые сценарии и скоуп</w:t>
        </w:r>
      </w:hyperlink>
      <w:r>
        <w:rPr>
          <w:rtl w:val="0"/>
        </w:rPr>
      </w:r>
      <w:r>
        <w:rPr>
          <w:color w:val="000000"/>
        </w:rPr>
      </w:r>
    </w:p>
    <w:p w14:paraId="00000013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xclax8lwvonf" w:anchor="xclax8lwvonf" w:history="1">
        <w:r>
          <w:rPr>
            <w:color w:val="0563c1"/>
            <w:u w:val="single"/>
            <w:rtl w:val="0"/>
          </w:rPr>
          <w:t xml:space="preserve">Поэтапный план</w:t>
        </w:r>
      </w:hyperlink>
      <w:r>
        <w:rPr>
          <w:rtl w:val="0"/>
        </w:rPr>
      </w:r>
      <w:r>
        <w:rPr>
          <w:color w:val="000000"/>
        </w:rPr>
      </w:r>
    </w:p>
    <w:p w14:paraId="00000014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2iycyy9vg6pn" w:anchor="2iycyy9vg6pn" w:history="1">
        <w:r>
          <w:rPr>
            <w:color w:val="0563c1"/>
            <w:u w:val="single"/>
            <w:rtl w:val="0"/>
          </w:rPr>
          <w:t xml:space="preserve">Необходимые ресурсы</w:t>
        </w:r>
      </w:hyperlink>
      <w:r>
        <w:rPr>
          <w:rtl w:val="0"/>
        </w:rPr>
      </w:r>
      <w:r>
        <w:rPr>
          <w:color w:val="000000"/>
        </w:rPr>
      </w:r>
    </w:p>
    <w:p w14:paraId="00000015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dib74o5u02oa" w:anchor="dib74o5u02oa" w:history="1">
        <w:r>
          <w:rPr>
            <w:color w:val="0563c1"/>
            <w:u w:val="single"/>
            <w:rtl w:val="0"/>
          </w:rPr>
          <w:t xml:space="preserve">Распределение работ в команде</w:t>
        </w:r>
      </w:hyperlink>
      <w:r>
        <w:rPr>
          <w:rtl w:val="0"/>
        </w:rPr>
      </w:r>
      <w:r>
        <w:rPr>
          <w:color w:val="000000"/>
        </w:rPr>
      </w:r>
    </w:p>
    <w:p w14:paraId="00000016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uknmyuqdcylw" w:anchor="uknmyuqdcylw" w:history="1">
        <w:r>
          <w:rPr>
            <w:color w:val="0563c1"/>
            <w:u w:val="single"/>
            <w:rtl w:val="0"/>
          </w:rPr>
          <w:t xml:space="preserve">Риски</w:t>
        </w:r>
      </w:hyperlink>
      <w:r>
        <w:rPr>
          <w:rtl w:val="0"/>
        </w:rPr>
      </w:r>
      <w:r>
        <w:rPr>
          <w:color w:val="000000"/>
        </w:rPr>
      </w:r>
    </w:p>
    <w:p w14:paraId="00000017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1080"/>
        <w:rPr>
          <w:color w:val="000000"/>
        </w:rPr>
      </w:pPr>
      <w:r/>
      <w:hyperlink w:tooltip="#ubkots2v0gfy" w:anchor="ubkots2v0gfy" w:history="1">
        <w:r>
          <w:rPr>
            <w:color w:val="0563c1"/>
            <w:u w:val="single"/>
            <w:rtl w:val="0"/>
          </w:rPr>
          <w:t xml:space="preserve">Отслеживание процесса</w:t>
        </w:r>
      </w:hyperlink>
      <w:r>
        <w:rPr>
          <w:rtl w:val="0"/>
        </w:rPr>
      </w:r>
      <w:r>
        <w:rPr>
          <w:color w:val="000000"/>
        </w:rPr>
      </w:r>
    </w:p>
    <w:p w14:paraId="00000018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9" w:lineRule="auto"/>
        <w:ind w:hanging="360" w:left="1080"/>
        <w:rPr>
          <w:color w:val="000000"/>
        </w:rPr>
      </w:pPr>
      <w:r/>
      <w:hyperlink w:tooltip="#hmkp99mlox5s" w:anchor="hmkp99mlox5s" w:history="1">
        <w:r>
          <w:rPr>
            <w:color w:val="0563c1"/>
            <w:u w:val="single"/>
            <w:rtl w:val="0"/>
          </w:rPr>
          <w:t xml:space="preserve">Структура команды тестирования (нет информации о ФИО и контактах)</w:t>
        </w:r>
      </w:hyperlink>
      <w:r>
        <w:rPr>
          <w:rtl w:val="0"/>
        </w:rPr>
      </w:r>
      <w:r>
        <w:rPr>
          <w:color w:val="000000"/>
        </w:rPr>
      </w:r>
    </w:p>
    <w:p w14:paraId="00000019">
      <w:pPr>
        <w:pStyle w:val="695"/>
        <w:pBdr/>
        <w:spacing w:after="120" w:before="240"/>
        <w:ind/>
        <w:rPr/>
      </w:pPr>
      <w:r/>
      <w:bookmarkStart w:id="0" w:name="js6aynpiz29s"/>
      <w:r/>
      <w:bookmarkEnd w:id="0"/>
      <w:r>
        <w:rPr>
          <w:rtl w:val="0"/>
        </w:rPr>
        <w:t xml:space="preserve">Исходные условия проекта</w:t>
      </w:r>
      <w:r/>
    </w:p>
    <w:tbl>
      <w:tblPr>
        <w:tblStyle w:val="703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A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B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C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Fast CI на internal HSQLDB, production-like CI на PostgreSQL, compatibility regression на остальных поддерживаемых БД.</w:t>
            </w:r>
            <w:r>
              <w:rPr>
                <w:rtl w:val="0"/>
              </w:rPr>
            </w:r>
            <w:r/>
          </w:p>
        </w:tc>
      </w:tr>
    </w:tbl>
    <w:p w14:paraId="0000002A">
      <w:pPr>
        <w:pBdr/>
        <w:spacing/>
        <w:ind/>
        <w:rPr/>
      </w:pPr>
      <w:r>
        <w:rPr>
          <w:rtl w:val="0"/>
        </w:rPr>
      </w:r>
      <w:r/>
    </w:p>
    <w:p w14:paraId="0000002B">
      <w:pPr>
        <w:pStyle w:val="695"/>
        <w:pBdr/>
        <w:spacing w:after="120" w:before="240"/>
        <w:ind/>
        <w:rPr/>
      </w:pPr>
      <w:r/>
      <w:bookmarkStart w:id="1" w:name="bjgds5eo772b"/>
      <w:r/>
      <w:bookmarkEnd w:id="1"/>
      <w:r>
        <w:rPr>
          <w:rtl w:val="0"/>
        </w:rPr>
        <w:t xml:space="preserve">Цель плана</w:t>
      </w:r>
      <w:r/>
    </w:p>
    <w:p w14:paraId="0000002C">
      <w:pPr>
        <w:pBdr/>
        <w:spacing w:line="259" w:lineRule="auto"/>
        <w:ind/>
        <w:rPr/>
      </w:pPr>
      <w:r>
        <w:rPr>
          <w:rtl w:val="0"/>
        </w:rPr>
        <w:t xml:space="preserve">Цель тест-плана — определить стратегию автоматизации TeamCity с нуля для команды из трех QA Automation Engineers. На старт</w:t>
      </w:r>
      <w:r>
        <w:rPr>
          <w:rtl w:val="0"/>
        </w:rPr>
        <w:t xml:space="preserve">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  <w:r/>
    </w:p>
    <w:p w14:paraId="0000002D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Сконцентрироваться на наиболее критичной функциональности продукта.</w:t>
      </w:r>
      <w:r>
        <w:rPr>
          <w:color w:val="000000"/>
        </w:rPr>
      </w:r>
    </w:p>
    <w:p w14:paraId="0000002E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rtl w:val="0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>
        <w:rPr>
          <w:rtl w:val="0"/>
        </w:rPr>
      </w:r>
      <w:r>
        <w:rPr>
          <w:color w:val="000000"/>
        </w:rPr>
      </w:r>
    </w:p>
    <w:p w14:paraId="0000002F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color w:val="000000"/>
        </w:rPr>
      </w:r>
    </w:p>
    <w:p w14:paraId="00000030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color w:val="000000"/>
        </w:rPr>
      </w:r>
    </w:p>
    <w:p w14:paraId="00000031">
      <w:pPr>
        <w:pStyle w:val="695"/>
        <w:pBdr/>
        <w:spacing w:after="120" w:before="240"/>
        <w:ind/>
        <w:rPr/>
      </w:pPr>
      <w:r>
        <w:rPr>
          <w:rtl w:val="0"/>
        </w:rPr>
        <w:t xml:space="preserve">Бизнес метрики продукта</w:t>
      </w:r>
      <w:r/>
    </w:p>
    <w:p w14:paraId="00000032">
      <w:pPr>
        <w:pBdr/>
        <w:spacing w:line="259" w:lineRule="auto"/>
        <w:ind/>
        <w:rPr/>
      </w:pPr>
      <w:r>
        <w:rPr>
          <w:rtl w:val="0"/>
        </w:rP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704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15"/>
        <w:gridCol w:w="3313"/>
        <w:gridCol w:w="3264"/>
        <w:tblGridChange w:id="1">
          <w:tblGrid>
            <w:gridCol w:w="3215"/>
            <w:gridCol w:w="3313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3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Цель тест-плана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4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Метрика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5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Целевое значение / критерий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6">
            <w:pPr>
              <w:pBdr/>
              <w:spacing w:after="40"/>
              <w:ind/>
              <w:rPr/>
            </w:pPr>
            <w:r>
              <w:rPr>
                <w:sz w:val="21"/>
                <w:szCs w:val="21"/>
                <w:rtl w:val="0"/>
              </w:rPr>
              <w:t xml:space="preserve">Оценить влияние автоматизации на delivery.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7">
            <w:pPr>
              <w:pBdr/>
              <w:spacing w:after="40"/>
              <w:ind/>
              <w:rPr/>
            </w:pPr>
            <w:r>
              <w:rPr>
                <w:sz w:val="21"/>
                <w:szCs w:val="21"/>
                <w:rtl w:val="0"/>
              </w:rPr>
              <w:t xml:space="preserve">Time To Market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8">
            <w:pPr>
              <w:pBdr/>
              <w:spacing w:after="40"/>
              <w:ind/>
              <w:rPr/>
            </w:pPr>
            <w:r>
              <w:rPr>
                <w:sz w:val="21"/>
                <w:szCs w:val="21"/>
                <w:rtl w:val="0"/>
              </w:rPr>
              <w:t xml:space="preserve">Ускорить на 20% время доставки новой функциональности в продакшн версию продукта за счет более быстрого P0/P1 feedback loop и сокращения ручной регрессии.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9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A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  <w:rtl w:val="0"/>
              </w:rPr>
              <w:t xml:space="preserve">Mean Time to Detect</w:t>
            </w:r>
            <w:r>
              <w:rPr>
                <w:sz w:val="21"/>
                <w:szCs w:val="21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B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  <w:rtl w:val="0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sz w:val="21"/>
                <w:szCs w:val="21"/>
              </w:rPr>
            </w:r>
          </w:p>
        </w:tc>
      </w:tr>
      <w:tr>
        <w:trPr>
          <w:cantSplit w:val="false"/>
          <w:trHeight w:val="322"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C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</w:rPr>
            </w:r>
          </w:p>
          <w:p w14:paraId="0000003D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rtl w:val="0"/>
              </w:rPr>
            </w:r>
            <w:r>
              <w:rPr>
                <w:sz w:val="21"/>
                <w:szCs w:val="21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E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  <w:rtl w:val="0"/>
              </w:rPr>
              <w:t xml:space="preserve">Bug Fix Time</w:t>
            </w:r>
            <w:r>
              <w:rPr>
                <w:sz w:val="21"/>
                <w:szCs w:val="21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3F">
            <w:pPr>
              <w:pBdr/>
              <w:spacing w:after="40"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  <w:rtl w:val="0"/>
              </w:rPr>
              <w:t xml:space="preserve">Сократить время исправления критических багов до 24 часов</w:t>
            </w:r>
            <w:r>
              <w:rPr>
                <w:sz w:val="21"/>
                <w:szCs w:val="21"/>
              </w:rPr>
            </w:r>
          </w:p>
        </w:tc>
      </w:tr>
      <w:tr>
        <w:trPr>
          <w:cantSplit w:val="false"/>
          <w:trHeight w:val="410"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4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9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9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P0/P1 coverage</w:t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 w14:paraId="000000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9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>
              <w:rPr>
                <w:color w:val="000000"/>
              </w:rPr>
            </w:r>
          </w:p>
        </w:tc>
      </w:tr>
    </w:tbl>
    <w:p w14:paraId="00000043">
      <w:pPr>
        <w:pBdr/>
        <w:spacing/>
        <w:ind/>
        <w:rPr/>
      </w:pPr>
      <w:r>
        <w:rPr>
          <w:rtl w:val="0"/>
        </w:rPr>
      </w:r>
      <w:r/>
    </w:p>
    <w:p w14:paraId="00000044">
      <w:pPr>
        <w:pStyle w:val="695"/>
        <w:pBdr/>
        <w:spacing w:after="120" w:before="240"/>
        <w:ind/>
        <w:rPr>
          <w:highlight w:val="yellow"/>
        </w:rPr>
      </w:pPr>
      <w:r/>
      <w:bookmarkStart w:id="2" w:name="y85jlrl5l9r"/>
      <w:r/>
      <w:bookmarkEnd w:id="2"/>
      <w:r>
        <w:rPr>
          <w:highlight w:val="yellow"/>
          <w:rtl w:val="0"/>
        </w:rPr>
        <w:t xml:space="preserve">Аспекты качества продукта</w:t>
      </w:r>
      <w:r>
        <w:rPr>
          <w:highlight w:val="yellow"/>
        </w:rPr>
      </w:r>
    </w:p>
    <w:tbl>
      <w:tblPr>
        <w:tblStyle w:val="705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5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6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Что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7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8">
            <w:pPr>
              <w:pBdr/>
              <w:spacing w:after="0" w:line="259" w:lineRule="auto"/>
              <w:ind/>
              <w:rPr/>
            </w:pPr>
            <w:r>
              <w:rPr>
                <w:rtl w:val="0"/>
              </w:rPr>
              <w:t xml:space="preserve">Функциональность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9">
            <w:pPr>
              <w:numPr>
                <w:ilvl w:val="0"/>
                <w:numId w:val="10"/>
              </w:numPr>
              <w:pBdr/>
              <w:spacing w:after="0" w:line="259" w:lineRule="auto"/>
              <w:ind w:hanging="360" w:left="720"/>
              <w:rPr/>
            </w:pPr>
            <w:r>
              <w:rPr>
                <w:rtl w:val="0"/>
              </w:rPr>
              <w:t xml:space="preserve">Корректность работы базового функционала: создание проекта, конфигурации, шагов сборки, запуск в очереди и получение финального статуса/логов.</w:t>
            </w:r>
            <w:r>
              <w:rPr>
                <w:rtl w:val="0"/>
              </w:rPr>
            </w:r>
            <w:r/>
          </w:p>
          <w:p w14:paraId="0000004A">
            <w:pPr>
              <w:pBdr/>
              <w:spacing w:after="0" w:line="259" w:lineRule="auto"/>
              <w:ind/>
              <w:rPr>
                <w:b/>
                <w:bCs/>
              </w:rPr>
            </w:pPr>
            <w:r>
              <w:rPr>
                <w:rtl w:val="0"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B">
            <w:pPr>
              <w:numPr>
                <w:ilvl w:val="0"/>
                <w:numId w:val="9"/>
              </w:numPr>
              <w:pBdr/>
              <w:spacing w:after="0" w:line="259" w:lineRule="auto"/>
              <w:ind w:hanging="360" w:left="720"/>
              <w:rPr/>
            </w:pPr>
            <w:r>
              <w:rPr>
                <w:rtl w:val="0"/>
              </w:rPr>
              <w:t xml:space="preserve">Ручная регрессия базового функционала сильно увеличивает Time to Market</w:t>
            </w:r>
            <w:r/>
          </w:p>
          <w:p w14:paraId="0000004C">
            <w:pPr>
              <w:numPr>
                <w:ilvl w:val="0"/>
                <w:numId w:val="9"/>
              </w:numPr>
              <w:pBdr/>
              <w:spacing w:after="0" w:line="259" w:lineRule="auto"/>
              <w:ind w:hanging="360" w:left="720"/>
              <w:rPr/>
            </w:pPr>
            <w:r>
              <w:rPr>
                <w:rtl w:val="0"/>
              </w:rPr>
              <w:t xml:space="preserve">Риск позднего обнаружения багов в логике выполнения</w:t>
            </w:r>
            <w:r/>
          </w:p>
        </w:tc>
      </w:tr>
      <w:tr>
        <w:trPr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D">
            <w:pPr>
              <w:pBdr/>
              <w:spacing w:after="0" w:line="259" w:lineRule="auto"/>
              <w:ind/>
              <w:rPr/>
            </w:pPr>
            <w:r>
              <w:rPr>
                <w:rtl w:val="0"/>
              </w:rPr>
              <w:t xml:space="preserve">Безопасность и разделение прав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E">
            <w:pPr>
              <w:numPr>
                <w:ilvl w:val="0"/>
                <w:numId w:val="1"/>
              </w:numPr>
              <w:pBdr/>
              <w:spacing w:after="0" w:line="259" w:lineRule="auto"/>
              <w:ind w:hanging="360" w:left="720"/>
              <w:rPr>
                <w:b/>
                <w:bCs/>
              </w:rPr>
            </w:pPr>
            <w:r>
              <w:rPr>
                <w:rtl w:val="0"/>
              </w:rPr>
              <w:t xml:space="preserve">Корректное поведение ролей (администратор и ограниченный пользователь), исключающее наличие избыточных прав.</w:t>
            </w:r>
            <w:r>
              <w:rPr>
                <w:rtl w:val="0"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4F">
            <w:pPr>
              <w:numPr>
                <w:ilvl w:val="0"/>
                <w:numId w:val="6"/>
              </w:numPr>
              <w:pBdr/>
              <w:spacing w:after="0" w:line="259" w:lineRule="auto"/>
              <w:ind w:hanging="360" w:left="720"/>
              <w:rPr>
                <w:b/>
                <w:bCs/>
              </w:rPr>
            </w:pPr>
            <w:r>
              <w:rPr>
                <w:rtl w:val="0"/>
              </w:rPr>
              <w:t xml:space="preserve">Без автоматизированных проверок существует риск пропуска избыточных прав у limited user или недостатка прав у admin.</w:t>
            </w:r>
            <w:r>
              <w:rPr>
                <w:rtl w:val="0"/>
              </w:rPr>
            </w:r>
            <w:r>
              <w:rPr>
                <w:b/>
                <w:bCs/>
              </w:rPr>
            </w:r>
          </w:p>
        </w:tc>
      </w:tr>
      <w:tr>
        <w:trPr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0">
            <w:pPr>
              <w:pBdr/>
              <w:spacing w:after="0" w:line="259" w:lineRule="auto"/>
              <w:ind/>
              <w:rPr/>
            </w:pPr>
            <w:r>
              <w:rPr>
                <w:sz w:val="24"/>
                <w:szCs w:val="24"/>
                <w:rtl w:val="0"/>
              </w:rPr>
              <w:t xml:space="preserve">Совместимость с базами данных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1">
            <w:pPr>
              <w:numPr>
                <w:ilvl w:val="0"/>
                <w:numId w:val="5"/>
              </w:numPr>
              <w:pBdr/>
              <w:spacing w:after="0" w:line="259" w:lineRule="auto"/>
              <w:ind w:hanging="360" w:left="720"/>
              <w:rPr/>
            </w:pPr>
            <w:r>
              <w:rPr>
                <w:rtl w:val="0"/>
              </w:rPr>
              <w:t xml:space="preserve">Корректная и идентичная работа TeamCity как на быстрой внутренней БД HSQLDB, так и на внешней БД PostgreSQL.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2">
            <w:pPr>
              <w:numPr>
                <w:ilvl w:val="0"/>
                <w:numId w:val="11"/>
              </w:numPr>
              <w:pBdr/>
              <w:spacing w:after="0" w:line="259" w:lineRule="auto"/>
              <w:ind w:hanging="360" w:left="720"/>
              <w:rPr/>
            </w:pPr>
            <w:r>
              <w:rPr>
                <w:rtl w:val="0"/>
              </w:rPr>
              <w:t xml:space="preserve">Тестирование только на базовой HSQLDB не выявляет специфические ошибки схем данных, проблемы миграций или конкурентных блокировок, характерные для реальных СУБД.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3">
            <w:pPr>
              <w:pBdr/>
              <w:spacing w:after="0" w:line="259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Тестируемость и стабильность UI</w:t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4">
            <w:pPr>
              <w:numPr>
                <w:ilvl w:val="0"/>
                <w:numId w:val="3"/>
              </w:numPr>
              <w:pBdr/>
              <w:spacing w:after="0" w:line="259" w:lineRule="auto"/>
              <w:ind w:hanging="360" w:left="720"/>
              <w:rPr/>
            </w:pPr>
            <w:r>
              <w:rPr>
                <w:sz w:val="24"/>
                <w:szCs w:val="24"/>
                <w:rtl w:val="0"/>
              </w:rPr>
              <w:t xml:space="preserve">Доступность и корректность отображения основных страниц (авторизация, страница проектов, настройки конфигурации, очередь и результаты сборок).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numPr>
                <w:ilvl w:val="0"/>
                <w:numId w:val="7"/>
              </w:numPr>
              <w:pBdr/>
              <w:spacing w:after="240" w:before="240" w:line="276" w:lineRule="auto"/>
              <w:ind w:hanging="360" w:left="720"/>
              <w:rPr/>
            </w:pPr>
            <w:r>
              <w:rPr>
                <w:rFonts w:ascii="Verdana" w:hAnsi="Verdana" w:eastAsia="Verdana" w:cs="Verdana"/>
                <w:rtl w:val="0"/>
              </w:rPr>
              <w:t xml:space="preserve">Отсутствие покрытия тестов UI увеличивает вероятность, что критические сценарии останутся непротестированными на стороне клиента.</w:t>
            </w:r>
            <w:r>
              <w:rPr>
                <w:rtl w:val="0"/>
              </w:rPr>
            </w:r>
            <w:r/>
          </w:p>
        </w:tc>
      </w:tr>
    </w:tbl>
    <w:p w14:paraId="00000056">
      <w:pPr>
        <w:pBdr/>
        <w:spacing/>
        <w:ind/>
        <w:rPr/>
      </w:pPr>
      <w:r>
        <w:rPr>
          <w:rtl w:val="0"/>
        </w:rPr>
      </w:r>
      <w:r/>
    </w:p>
    <w:p w14:paraId="00000057">
      <w:pPr>
        <w:pBdr/>
        <w:spacing/>
        <w:ind/>
        <w:rPr/>
      </w:pPr>
      <w:r>
        <w:rPr>
          <w:rtl w:val="0"/>
        </w:rPr>
      </w:r>
      <w:r/>
    </w:p>
    <w:p w14:paraId="00000058">
      <w:pPr>
        <w:pStyle w:val="695"/>
        <w:pBdr/>
        <w:spacing w:after="120" w:before="240"/>
        <w:ind/>
        <w:rPr/>
      </w:pPr>
      <w:r/>
      <w:bookmarkStart w:id="3" w:name="t437rpsedu4q"/>
      <w:r/>
      <w:bookmarkEnd w:id="3"/>
      <w:r>
        <w:rPr>
          <w:rtl w:val="0"/>
        </w:rPr>
        <w:t xml:space="preserve">Виды и уровни тестирования</w:t>
      </w:r>
      <w:r/>
    </w:p>
    <w:tbl>
      <w:tblPr>
        <w:tblStyle w:val="706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257"/>
        <w:gridCol w:w="1921"/>
        <w:gridCol w:w="4494"/>
        <w:gridCol w:w="1688"/>
        <w:tblGridChange w:id="3">
          <w:tblGrid>
            <w:gridCol w:w="1257"/>
            <w:gridCol w:w="1921"/>
            <w:gridCol w:w="4494"/>
            <w:gridCol w:w="1688"/>
          </w:tblGrid>
        </w:tblGridChange>
      </w:tblGrid>
      <w:tr>
        <w:trPr>
          <w:cantSplit w:val="false"/>
          <w:tblHeader/>
        </w:trPr>
        <w:tc>
          <w:tcPr>
            <w:tcBorders/>
            <w:vAlign w:val="center"/>
          </w:tcPr>
          <w:p w14:paraId="00000059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Приоритет</w:t>
            </w:r>
            <w:r>
              <w:rPr>
                <w:b/>
                <w:bCs/>
              </w:rPr>
            </w:r>
          </w:p>
        </w:tc>
        <w:tc>
          <w:tcPr>
            <w:tcBorders/>
            <w:vAlign w:val="center"/>
          </w:tcPr>
          <w:p w14:paraId="0000005A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Вид тестирования</w:t>
            </w:r>
            <w:r>
              <w:rPr>
                <w:b/>
                <w:bCs/>
              </w:rPr>
            </w:r>
          </w:p>
        </w:tc>
        <w:tc>
          <w:tcPr>
            <w:tcBorders/>
            <w:vAlign w:val="center"/>
          </w:tcPr>
          <w:p w14:paraId="0000005B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Решение для проекта</w:t>
            </w:r>
            <w:r>
              <w:rPr>
                <w:b/>
                <w:bCs/>
              </w:rPr>
            </w:r>
          </w:p>
        </w:tc>
        <w:tc>
          <w:tcPr>
            <w:tcBorders/>
            <w:vAlign w:val="center"/>
          </w:tcPr>
          <w:p w14:paraId="0000005C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Кто отвечает</w:t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5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P0</w:t>
            </w:r>
            <w:r/>
          </w:p>
        </w:tc>
        <w:tc>
          <w:tcPr>
            <w:tcBorders/>
            <w:vAlign w:val="center"/>
          </w:tcPr>
          <w:p w14:paraId="0000005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Environment Readiness / Smoke</w:t>
            </w:r>
            <w:r/>
          </w:p>
        </w:tc>
        <w:tc>
          <w:tcPr>
            <w:tcBorders/>
            <w:vAlign w:val="center"/>
          </w:tcPr>
          <w:p w14:paraId="0000005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Проверяем, что TeamCity Server доступен, REST API отвечает, есть authorized/connected agent для запуска build. </w:t>
            </w:r>
            <w:r/>
          </w:p>
        </w:tc>
        <w:tc>
          <w:tcPr>
            <w:tcBorders/>
            <w:vAlign w:val="center"/>
          </w:tcPr>
          <w:p w14:paraId="0000006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Вся команда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6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P0</w:t>
            </w:r>
            <w:r/>
          </w:p>
        </w:tc>
        <w:tc>
          <w:tcPr>
            <w:tcBorders/>
            <w:vAlign w:val="center"/>
          </w:tcPr>
          <w:p w14:paraId="0000006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API Testing</w:t>
            </w:r>
            <w:r/>
          </w:p>
        </w:tc>
        <w:tc>
          <w:tcPr>
            <w:tcBorders/>
            <w:vAlign w:val="center"/>
          </w:tcPr>
          <w:p w14:paraId="0000006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Основной слой покрытия: server info, project, VCS root, build configuration, build step, buildQueue, build status/history, cleanup, negative auth checks.</w:t>
            </w:r>
            <w:r/>
          </w:p>
        </w:tc>
        <w:tc>
          <w:tcPr>
            <w:tcBorders/>
            <w:vAlign w:val="center"/>
          </w:tcPr>
          <w:p w14:paraId="0000006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QA Automation Engineers, по API-сущностям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6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P0</w:t>
            </w:r>
            <w:r/>
          </w:p>
        </w:tc>
        <w:tc>
          <w:tcPr>
            <w:tcBorders/>
            <w:vAlign w:val="center"/>
          </w:tcPr>
          <w:p w14:paraId="0000006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UI Smoke Testing</w:t>
            </w:r>
            <w:r/>
          </w:p>
        </w:tc>
        <w:tc>
          <w:tcPr>
            <w:tcBorders/>
            <w:vAlign w:val="center"/>
          </w:tcPr>
          <w:p w14:paraId="0000006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Один минимальный UI happy path: login, Projects page, переход к заранее созданной через API Build Configuration, Queue/Build Result read-only. UI не создает и не меняет тестовые данные.</w:t>
            </w:r>
            <w:r/>
          </w:p>
        </w:tc>
        <w:tc>
          <w:tcPr>
            <w:tcBorders/>
            <w:vAlign w:val="center"/>
          </w:tcPr>
          <w:p w14:paraId="0000006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QA Automation Engineers, по UI-flow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6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P0</w:t>
            </w:r>
            <w:r/>
          </w:p>
        </w:tc>
        <w:tc>
          <w:tcPr>
            <w:tcBorders/>
            <w:vAlign w:val="center"/>
          </w:tcPr>
          <w:p w14:paraId="0000006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Minimal E2E Build Lifecycle</w:t>
            </w:r>
            <w:r/>
          </w:p>
        </w:tc>
        <w:tc>
          <w:tcPr>
            <w:tcBorders/>
            <w:vAlign w:val="center"/>
          </w:tcPr>
          <w:p w14:paraId="0000006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Сквозная проверка через API-first flow: создать сущности, запустить простой build, проверить queue/status/result/log metadata. UI используется только для read-only подтверждения.</w:t>
            </w:r>
            <w:r/>
          </w:p>
        </w:tc>
        <w:tc>
          <w:tcPr>
            <w:tcBorders/>
            <w:vAlign w:val="center"/>
          </w:tcPr>
          <w:p w14:paraId="0000006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Вся команда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6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P1</w:t>
            </w:r>
            <w:r/>
          </w:p>
        </w:tc>
        <w:tc>
          <w:tcPr>
            <w:tcBorders/>
            <w:vAlign w:val="center"/>
          </w:tcPr>
          <w:p w14:paraId="0000006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Roles / Permissions Testing</w:t>
            </w:r>
            <w:r/>
          </w:p>
        </w:tc>
        <w:tc>
          <w:tcPr>
            <w:tcBorders/>
            <w:vAlign w:val="center"/>
          </w:tcPr>
          <w:p w14:paraId="0000006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Создание первого администратора, минимальная RBAC-проверка: admin full access, limited user negative checks для project, build configuration и build run.</w:t>
            </w:r>
            <w:r/>
          </w:p>
        </w:tc>
        <w:tc>
          <w:tcPr>
            <w:tcBorders/>
            <w:vAlign w:val="center"/>
          </w:tcPr>
          <w:p w14:paraId="0000007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QA Automation Engineers, по ролям и правам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7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P1</w:t>
            </w:r>
            <w:r/>
          </w:p>
        </w:tc>
        <w:tc>
          <w:tcPr>
            <w:tcBorders/>
            <w:vAlign w:val="center"/>
          </w:tcPr>
          <w:p w14:paraId="0000007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Integration Testing</w:t>
            </w:r>
            <w:r/>
          </w:p>
        </w:tc>
        <w:tc>
          <w:tcPr>
            <w:tcBorders/>
            <w:vAlign w:val="center"/>
          </w:tcPr>
          <w:p w14:paraId="0000007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Связка TeamCity Server + authorized Agent + REST API + simple build lifecycle.</w:t>
            </w:r>
            <w:r/>
          </w:p>
        </w:tc>
        <w:tc>
          <w:tcPr>
            <w:tcBorders/>
            <w:vAlign w:val="center"/>
          </w:tcPr>
          <w:p w14:paraId="0000007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Вся команда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7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P1</w:t>
            </w:r>
            <w:r/>
          </w:p>
        </w:tc>
        <w:tc>
          <w:tcPr>
            <w:tcBorders/>
            <w:vAlign w:val="center"/>
          </w:tcPr>
          <w:p w14:paraId="0000007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Security / Authorization</w:t>
            </w:r>
            <w:r/>
          </w:p>
        </w:tc>
        <w:tc>
          <w:tcPr>
            <w:tcBorders/>
            <w:vAlign w:val="center"/>
          </w:tcPr>
          <w:p w14:paraId="0000007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Token usage, invalid/missing token, basic access restrictions. Полный security scope не берем.</w:t>
            </w:r>
            <w:r/>
          </w:p>
        </w:tc>
        <w:tc>
          <w:tcPr>
            <w:tcBorders/>
            <w:vAlign w:val="center"/>
          </w:tcPr>
          <w:p w14:paraId="0000007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QA Automation Engineers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7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P2</w:t>
            </w:r>
            <w:r/>
          </w:p>
        </w:tc>
        <w:tc>
          <w:tcPr>
            <w:tcBorders/>
            <w:vAlign w:val="center"/>
          </w:tcPr>
          <w:p w14:paraId="0000007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Regression Testing</w:t>
            </w:r>
            <w:r/>
          </w:p>
        </w:tc>
        <w:tc>
          <w:tcPr>
            <w:tcBorders/>
            <w:vAlign w:val="center"/>
          </w:tcPr>
          <w:p w14:paraId="0000007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Расширение покрытия после стабилизации MVP: больше build settings, больше негативных сценариев, больше UI/API consistency checks.</w:t>
            </w:r>
            <w:r/>
          </w:p>
        </w:tc>
        <w:tc>
          <w:tcPr>
            <w:tcBorders/>
            <w:vAlign w:val="center"/>
          </w:tcPr>
          <w:p w14:paraId="0000007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QA Automation Engineers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7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Out of Scope на старте</w:t>
            </w:r>
            <w:r/>
          </w:p>
        </w:tc>
        <w:tc>
          <w:tcPr>
            <w:tcBorders/>
            <w:vAlign w:val="center"/>
          </w:tcPr>
          <w:p w14:paraId="0000007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Initial Setup / Installability</w:t>
            </w:r>
            <w:r/>
          </w:p>
        </w:tc>
        <w:tc>
          <w:tcPr>
            <w:tcBorders/>
            <w:vAlign w:val="center"/>
          </w:tcPr>
          <w:p w14:paraId="0000007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Выбор БД и установка TeamCity не входят в первые 4 недели.</w:t>
            </w:r>
            <w:r/>
          </w:p>
        </w:tc>
        <w:tc>
          <w:tcPr>
            <w:tcBorders/>
            <w:vAlign w:val="center"/>
          </w:tcPr>
          <w:p w14:paraId="0000008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Вне scope проекта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8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P1</w:t>
            </w:r>
            <w:r/>
          </w:p>
        </w:tc>
        <w:tc>
          <w:tcPr>
            <w:tcBorders/>
            <w:vAlign w:val="center"/>
          </w:tcPr>
          <w:p w14:paraId="0000008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Database Compatibility Regression</w:t>
            </w:r>
            <w:r/>
          </w:p>
        </w:tc>
        <w:tc>
          <w:tcPr>
            <w:tcBorders/>
            <w:vAlign w:val="center"/>
          </w:tcPr>
          <w:p w14:paraId="0000008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Входит в MVP: PostgreSQL production-like и MySQL/MariaDB/MS SQL/Oracle compatibility regression. Проверяем bootstrap, schema readiness, REST API, authorized/connected agent, project/build configuration, простой build и build result.</w:t>
            </w:r>
            <w:r/>
          </w:p>
        </w:tc>
        <w:tc>
          <w:tcPr>
            <w:tcBorders/>
            <w:vAlign w:val="center"/>
          </w:tcPr>
          <w:p w14:paraId="0000008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QA Automation Engineers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8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Out of Scope на старте</w:t>
            </w:r>
            <w:r/>
          </w:p>
        </w:tc>
        <w:tc>
          <w:tcPr>
            <w:tcBorders/>
            <w:vAlign w:val="center"/>
          </w:tcPr>
          <w:p w14:paraId="0000008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Unit Testing</w:t>
            </w:r>
            <w:r/>
          </w:p>
        </w:tc>
        <w:tc>
          <w:tcPr>
            <w:tcBorders/>
            <w:vAlign w:val="center"/>
          </w:tcPr>
          <w:p w14:paraId="0000008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Unit tests продукта существуют, но не входят в black-box scope команды.</w:t>
            </w:r>
            <w:r/>
          </w:p>
        </w:tc>
        <w:tc>
          <w:tcPr>
            <w:tcBorders/>
            <w:vAlign w:val="center"/>
          </w:tcPr>
          <w:p w14:paraId="0000008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Команда продукта; вне scope проекта</w:t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8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Out of Scope на старте</w:t>
            </w:r>
            <w:r/>
          </w:p>
        </w:tc>
        <w:tc>
          <w:tcPr>
            <w:tcBorders/>
            <w:vAlign w:val="center"/>
          </w:tcPr>
          <w:p w14:paraId="0000008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Performance/Load</w:t>
            </w:r>
            <w:r/>
          </w:p>
        </w:tc>
        <w:tc>
          <w:tcPr>
            <w:tcBorders/>
            <w:vAlign w:val="center"/>
          </w:tcPr>
          <w:p w14:paraId="0000008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Не входит в первые 4 недели, кроме базового контроля длительности smoke/API прогона.</w:t>
            </w:r>
            <w:r/>
          </w:p>
        </w:tc>
        <w:tc>
          <w:tcPr>
            <w:tcBorders/>
            <w:vAlign w:val="center"/>
          </w:tcPr>
          <w:p w14:paraId="0000008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Не назначается на первые 4 недели</w:t>
            </w:r>
            <w:r/>
          </w:p>
        </w:tc>
      </w:tr>
    </w:tbl>
    <w:p w14:paraId="0000008D">
      <w:pPr>
        <w:pBdr/>
        <w:spacing/>
        <w:ind/>
        <w:rPr/>
      </w:pPr>
      <w:r>
        <w:rPr>
          <w:rtl w:val="0"/>
        </w:rPr>
      </w:r>
      <w:r/>
    </w:p>
    <w:p w14:paraId="0000008E">
      <w:pPr>
        <w:pStyle w:val="695"/>
        <w:pBdr/>
        <w:spacing/>
        <w:ind/>
        <w:rPr/>
      </w:pPr>
      <w:r/>
      <w:bookmarkStart w:id="4" w:name="8a5iybqixmrt"/>
      <w:r/>
      <w:bookmarkEnd w:id="4"/>
      <w:r>
        <w:rPr>
          <w:rtl w:val="0"/>
        </w:rPr>
        <w:t xml:space="preserve">Метрики качества автоматизации</w:t>
      </w:r>
      <w:r/>
    </w:p>
    <w:tbl>
      <w:tblPr>
        <w:tblStyle w:val="707"/>
        <w:jc w:val="center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3000"/>
        <w:gridCol w:w="1900"/>
        <w:gridCol w:w="4460"/>
        <w:tblGridChange w:id="4">
          <w:tblGrid>
            <w:gridCol w:w="3000"/>
            <w:gridCol w:w="1900"/>
            <w:gridCol w:w="4460"/>
          </w:tblGrid>
        </w:tblGridChange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8F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Цель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0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Метрика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1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Целевое значение / критерий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2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3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P0/P1 coverage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4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5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Подготовить pipeline, который поднимает стенд и запускает автотесты воспроизводимо.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6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Pipeline readiness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7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К концу 4-й недели pipeline поднимает стенд, выполняет bootstrap, запускает UI/API/E2E suites, DB compatibility jobs и публикует отчет.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8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Сохранять доверие к автотестам.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9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Pass Rate / Flaky Rate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A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Pass Rate &gt;= 95% на стабильном стенде; Flaky Rate &lt;= 3%.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B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Контролировать длительность быстрого smoke-прогона.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C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Smoke duration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9D">
            <w:pPr>
              <w:pBdr/>
              <w:spacing w:after="0" w:line="259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&lt;= 20 минут для fast CI.</w:t>
            </w:r>
            <w:r>
              <w:rPr>
                <w:rtl w:val="0"/>
              </w:rPr>
            </w:r>
            <w:r/>
          </w:p>
        </w:tc>
      </w:tr>
    </w:tbl>
    <w:p w14:paraId="0000009E">
      <w:pPr>
        <w:pBdr/>
        <w:spacing/>
        <w:ind/>
        <w:rPr/>
      </w:pPr>
      <w:r>
        <w:rPr>
          <w:rtl w:val="0"/>
        </w:rPr>
      </w:r>
      <w:r/>
    </w:p>
    <w:p w14:paraId="0000009F">
      <w:pPr>
        <w:pStyle w:val="695"/>
        <w:pBdr/>
        <w:spacing/>
        <w:ind/>
        <w:rPr/>
      </w:pPr>
      <w:r/>
      <w:bookmarkStart w:id="5" w:name="kbb2byj8ysag"/>
      <w:r/>
      <w:bookmarkEnd w:id="5"/>
      <w:r>
        <w:rPr>
          <w:rtl w:val="0"/>
        </w:rPr>
        <w:t xml:space="preserve">Расчет ROI автоматизации</w:t>
      </w:r>
      <w:r/>
    </w:p>
    <w:p w14:paraId="000000A0">
      <w:pPr>
        <w:pBdr/>
        <w:spacing/>
        <w:ind/>
        <w:rPr/>
      </w:pPr>
      <w:r>
        <w:rPr>
          <w:rtl w:val="0"/>
        </w:rP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  <w:r/>
    </w:p>
    <w:p w14:paraId="000000A1">
      <w:pPr>
        <w:pBdr/>
        <w:spacing/>
        <w:ind/>
        <w:rPr>
          <w:b/>
          <w:bCs/>
        </w:rPr>
      </w:pPr>
      <w:r>
        <w:rPr>
          <w:b/>
          <w:bCs/>
          <w:rtl w:val="0"/>
        </w:rPr>
        <w:t xml:space="preserve">Формула расчета: </w:t>
      </w:r>
      <w:r>
        <w:rPr>
          <w:b/>
          <w:bCs/>
        </w:rPr>
      </w:r>
    </w:p>
    <w:p w14:paraId="000000A2">
      <w:pPr>
        <w:pBdr/>
        <w:spacing/>
        <w:ind/>
        <w:rPr/>
      </w:pPr>
      <w:r>
        <w:rPr>
          <w:rtl w:val="0"/>
        </w:rPr>
        <w:t xml:space="preserve">срок окупаемости = затраты на автоматизацию / годовая экономия ручной регрессии. </w:t>
      </w:r>
      <w:r/>
    </w:p>
    <w:p w14:paraId="000000A3">
      <w:pPr>
        <w:pBdr/>
        <w:spacing/>
        <w:ind/>
        <w:rPr/>
      </w:pPr>
      <w:r>
        <w:rPr>
          <w:rtl w:val="0"/>
        </w:rP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  <w:r/>
    </w:p>
    <w:tbl>
      <w:tblPr>
        <w:tblStyle w:val="708"/>
        <w:jc w:val="center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3000"/>
        <w:gridCol w:w="4300"/>
        <w:gridCol w:w="2060"/>
        <w:tblGridChange w:id="5">
          <w:tblGrid>
            <w:gridCol w:w="3000"/>
            <w:gridCol w:w="4300"/>
            <w:gridCol w:w="2060"/>
          </w:tblGrid>
        </w:tblGridChange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4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Показатель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5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Как считаем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6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Результат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7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Затраты на автоматизацию MVP-suite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8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3 QA Automation Engineers * 4 недели * 40 часов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9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480 часов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A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Одна ручная P0/P1-регрессия на одном окружении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B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setup/admin + roles/permissions + agent + project/build configuration + build run + отчетность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C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16 часов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Базовый регрессионный цикл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2 окружения: HSQLDB fast path + PostgreSQL production-like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18 часа за цикл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Экономия при 1 цикле в месяц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18 часа * 12 месяцев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216 часа/год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Срок окупаемости при 1 цикле в месяц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480 / 216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2,22  года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Экономия при 2 циклах в месяц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18 часа * 2 * 12 месяцев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432 часов/год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Срок окупаемости при 2 циклах в месяц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480 / 432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</w:rPr>
              <w:t xml:space="preserve">1,11 года, около 13,3 месяца</w:t>
            </w:r>
            <w:r>
              <w:rPr>
                <w:sz w:val="17"/>
                <w:szCs w:val="17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C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Risk-adjusted срок окупаемости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D">
            <w:pPr>
              <w:pBdr/>
              <w:spacing w:after="0" w:line="259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1,11 * 2, если закладываем риск нестабильности и доработок</w:t>
            </w:r>
            <w:r>
              <w:rPr>
                <w:rtl w:val="0"/>
              </w:rPr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vAlign w:val="center"/>
          </w:tcPr>
          <w:p w14:paraId="000000BE"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szCs w:val="17"/>
                <w:rtl w:val="0"/>
              </w:rPr>
              <w:t xml:space="preserve">около 2.22 года</w:t>
            </w:r>
            <w:r>
              <w:rPr>
                <w:rtl w:val="0"/>
              </w:rPr>
            </w:r>
            <w:r/>
          </w:p>
        </w:tc>
      </w:tr>
    </w:tbl>
    <w:p w14:paraId="000000C2">
      <w:pPr>
        <w:pBdr/>
        <w:spacing/>
        <w:ind/>
        <w:rPr/>
      </w:pPr>
      <w:r>
        <w:rPr>
          <w:rtl w:val="0"/>
        </w:rPr>
      </w:r>
      <w:r/>
    </w:p>
    <w:p w14:paraId="000000C3">
      <w:pPr>
        <w:pBdr/>
        <w:spacing/>
        <w:ind/>
        <w:rPr/>
      </w:pPr>
      <w:r>
        <w:rPr>
          <w:rtl w:val="0"/>
        </w:rPr>
        <w:t xml:space="preserve">Вывод: при двух регрессионных циклах в месяц базовый MVP-suite окупается примерно за 13  месяцев. Если применить коэффициент риска 2, ориентир становится около 26 месяцев. </w:t>
      </w:r>
      <w:r/>
    </w:p>
    <w:p w14:paraId="000000C4">
      <w:pPr>
        <w:pBdr/>
        <w:spacing/>
        <w:ind/>
        <w:rPr/>
      </w:pPr>
      <w:r>
        <w:rPr>
          <w:rtl w:val="0"/>
        </w:rPr>
        <w:t xml:space="preserve">Если набор автотестов живет дольше 2 лет, эффект от автоматизации становится положительным.</w:t>
      </w:r>
      <w:r/>
    </w:p>
    <w:p w14:paraId="000000C5">
      <w:pPr>
        <w:pStyle w:val="695"/>
        <w:pBdr/>
        <w:spacing w:after="120" w:before="240"/>
        <w:ind/>
        <w:rPr/>
      </w:pPr>
      <w:r/>
      <w:bookmarkStart w:id="6" w:name="shz7ahca5lqa"/>
      <w:r/>
      <w:bookmarkEnd w:id="6"/>
      <w:r>
        <w:rPr>
          <w:rtl w:val="0"/>
        </w:rPr>
        <w:t xml:space="preserve">Стек автоматизации</w:t>
      </w:r>
      <w:r/>
    </w:p>
    <w:tbl>
      <w:tblPr>
        <w:tblStyle w:val="709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6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Компонент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Выбор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Обоснование 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Язык программирования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Python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  <w:r>
              <w:rPr>
                <w:sz w:val="18"/>
                <w:szCs w:val="18"/>
              </w:rPr>
            </w:r>
          </w:p>
          <w:p w14:paraId="000000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Python хорошо поддерживает pytest, Selenium/Playwright, API-тесты, Allure и работу с внешними сервисами.</w:t>
            </w:r>
            <w:r>
              <w:rPr>
                <w:sz w:val="18"/>
                <w:szCs w:val="18"/>
              </w:rPr>
            </w:r>
          </w:p>
        </w:tc>
      </w:tr>
      <w:tr>
        <w:trPr>
          <w:cantSplit w:val="false"/>
          <w:trHeight w:val="231"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Test runner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Pytest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Для организации автотестов выбран pytest, потому что он проще и гибче стандартного unittest и лучше подходит для масштабируемого test fram</w:t>
            </w:r>
            <w:r>
              <w:rPr>
                <w:sz w:val="18"/>
                <w:szCs w:val="18"/>
                <w:rtl w:val="0"/>
              </w:rPr>
              <w:t xml:space="preserve">ework. В отличие от unittest, pytest дает более удобные фикстуры, параметризацию, маркировку тестов и лаконичный синтаксис. По сравнению с BDD-фреймворками вроде behave, pytest меньше усложняет структуру проекта и лучше подходит для технических автотестов.</w:t>
            </w:r>
            <w:r>
              <w:rPr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UI automation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Playwright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Playwright выбран как более подходящий инструмент для нашего проекта по ср</w:t>
            </w:r>
            <w:r>
              <w:rPr>
                <w:sz w:val="18"/>
                <w:szCs w:val="18"/>
                <w:rtl w:val="0"/>
              </w:rPr>
              <w:t xml:space="preserve">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screenshots и video. Cypress силен для frontend-тестирования в JavaScript/TypeScri</w:t>
            </w:r>
            <w:r>
              <w:rPr>
                <w:sz w:val="18"/>
                <w:szCs w:val="18"/>
                <w:rtl w:val="0"/>
              </w:rPr>
              <w:t xml:space="preserve">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 в существующий Python-фреймворк и хорошо подходит для запуска в TeamCity.</w:t>
            </w:r>
            <w:r>
              <w:rPr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API automation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requests 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Для автоматизации API выбран requests как основной HTTP-клиент в Python.</w:t>
            </w:r>
            <w:r>
              <w:rPr>
                <w:sz w:val="18"/>
                <w:szCs w:val="18"/>
              </w:rPr>
            </w:r>
          </w:p>
          <w:p w14:paraId="000000D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requests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  <w:r>
              <w:rPr>
                <w:sz w:val="18"/>
                <w:szCs w:val="18"/>
              </w:rPr>
            </w:r>
          </w:p>
          <w:p w14:paraId="000000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Инструмент является зрелым, широко</w:t>
            </w:r>
            <w:r>
              <w:rPr>
                <w:sz w:val="18"/>
                <w:szCs w:val="18"/>
                <w:rtl w:val="0"/>
              </w:rPr>
              <w:t xml:space="preserve">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переиспользуемые API-клиенты для тестов.</w:t>
            </w:r>
            <w:r>
              <w:rPr>
                <w:sz w:val="18"/>
                <w:szCs w:val="18"/>
              </w:rPr>
            </w:r>
          </w:p>
          <w:p w14:paraId="000000D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Альтернативы, например httpx, могут быть рассмотрены при необходимости async-запросов или HTTP/2, но для стандартной REST API-автоматизации requests является более простым, стабильным и достаточным решением.</w:t>
            </w:r>
            <w:r>
              <w:rPr>
                <w:sz w:val="18"/>
                <w:szCs w:val="18"/>
              </w:rPr>
            </w:r>
          </w:p>
          <w:p w14:paraId="000000D9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CI/CD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GitHub Actions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Для CI/CD выбран GitHub Actions,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  <w:r>
              <w:rPr>
                <w:sz w:val="18"/>
                <w:szCs w:val="18"/>
              </w:rPr>
            </w:r>
          </w:p>
          <w:p w14:paraId="000000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По сравнению с альтернативами вроде TeamCity, Jenkins или GitLab CI, GitHub Actions в нашем случае требует меньше усилий на внедрение: репозиторий, workflow, secrets, pull requests и результаты запусков находятся в одной экосистеме.</w:t>
            </w:r>
            <w:r>
              <w:rPr>
                <w:sz w:val="18"/>
                <w:szCs w:val="18"/>
              </w:rPr>
            </w:r>
          </w:p>
          <w:p w14:paraId="000000D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  <w:r>
              <w:rPr>
                <w:sz w:val="18"/>
                <w:szCs w:val="18"/>
              </w:rPr>
            </w:r>
          </w:p>
          <w:p w14:paraId="000000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Test reports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Allure Reports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Для отчетности выбран Allure Reports,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  <w:r>
              <w:rPr>
                <w:sz w:val="18"/>
                <w:szCs w:val="18"/>
              </w:rPr>
            </w:r>
          </w:p>
          <w:p w14:paraId="000000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JUnit/XML хорошо подходит для</w:t>
            </w:r>
            <w:r>
              <w:rPr>
                <w:sz w:val="18"/>
                <w:szCs w:val="18"/>
                <w:rtl w:val="0"/>
              </w:rPr>
              <w:t xml:space="preserve">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глубокого анализа автотестов.</w:t>
            </w:r>
            <w:r>
              <w:rPr>
                <w:sz w:val="18"/>
                <w:szCs w:val="18"/>
              </w:rPr>
            </w:r>
          </w:p>
          <w:p w14:paraId="000000E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Allure позволя</w:t>
            </w:r>
            <w:r>
              <w:rPr>
                <w:sz w:val="18"/>
                <w:szCs w:val="18"/>
                <w:rtl w:val="0"/>
              </w:rPr>
              <w:t xml:space="preserve">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 и менеджерам.</w:t>
            </w:r>
            <w:r>
              <w:rPr>
                <w:sz w:val="18"/>
                <w:szCs w:val="18"/>
              </w:rPr>
            </w:r>
          </w:p>
          <w:p w14:paraId="000000E5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6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TMS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7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TestIT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</w:tcPr>
          <w:p w14:paraId="000000E8">
            <w:pPr>
              <w:pBdr/>
              <w:spacing w:after="0" w:line="252" w:lineRule="auto"/>
              <w:ind/>
              <w:rPr>
                <w:b/>
                <w:bCs/>
              </w:rPr>
            </w:pPr>
            <w:r>
              <w:rPr>
                <w:sz w:val="18"/>
                <w:szCs w:val="18"/>
                <w:rtl w:val="0"/>
              </w:rPr>
              <w:t xml:space="preserve">Для ведения тестовой документации выбран TestIT. Это беспла</w:t>
            </w:r>
            <w:r>
              <w:rPr>
                <w:sz w:val="18"/>
                <w:szCs w:val="18"/>
                <w:rtl w:val="0"/>
              </w:rPr>
              <w:t xml:space="preserve">тный продукт, который имеет весь необходимый функционал для управления тестированием. TestIT позволяет хранить тест-кейсы в единой библиотеке, объединять их в тест-планы и тестовые наборы, назначать исполнителей и фиксировать результаты прохождения тестов.</w:t>
            </w:r>
            <w:r>
              <w:rPr>
                <w:rtl w:val="0"/>
              </w:rPr>
              <w:t xml:space="preserve"> Имеется </w:t>
            </w:r>
            <w:r>
              <w:rPr>
                <w:sz w:val="18"/>
                <w:szCs w:val="18"/>
                <w:rtl w:val="0"/>
              </w:rPr>
              <w:t xml:space="preserve">поддержка как ручного, так и автоматизированного тестирования</w:t>
            </w:r>
            <w:r>
              <w:rPr>
                <w:rtl w:val="0"/>
              </w:rPr>
            </w:r>
            <w:r>
              <w:rPr>
                <w:b/>
                <w:bCs/>
              </w:rPr>
            </w:r>
          </w:p>
        </w:tc>
      </w:tr>
    </w:tbl>
    <w:p w14:paraId="000000E9">
      <w:pPr>
        <w:pBdr/>
        <w:spacing/>
        <w:ind/>
        <w:rPr/>
      </w:pPr>
      <w:r>
        <w:br w:type="page" w:clear="all"/>
      </w:r>
      <w:r>
        <w:rPr>
          <w:rtl w:val="0"/>
        </w:rPr>
      </w:r>
      <w:r/>
    </w:p>
    <w:p w14:paraId="000000EA">
      <w:pPr>
        <w:pStyle w:val="695"/>
        <w:pBdr/>
        <w:spacing w:after="120" w:before="240"/>
        <w:ind/>
        <w:rPr/>
      </w:pPr>
      <w:r/>
      <w:bookmarkStart w:id="7" w:name="3l75zvzhh8k"/>
      <w:r/>
      <w:bookmarkEnd w:id="7"/>
      <w:r>
        <w:rPr>
          <w:rtl w:val="0"/>
        </w:rPr>
        <w:t xml:space="preserve">Архитектура фреймворка автоматизации</w:t>
      </w:r>
      <w:r/>
    </w:p>
    <w:p w14:paraId="000000EB">
      <w:pPr>
        <w:pBdr/>
        <w:spacing/>
        <w:ind/>
        <w:rPr/>
      </w:pPr>
      <w:r>
        <w:rPr>
          <w:rtl w:val="0"/>
        </w:rPr>
        <w:t xml:space="preserve">Фреймворк делим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  <w:r/>
    </w:p>
    <w:p w14:paraId="000000EC">
      <w:pPr>
        <w:pBdr/>
        <w:spacing/>
        <w:ind/>
        <w:rPr/>
      </w:pPr>
      <w:r>
        <w:rPr>
          <w:rtl w:val="0"/>
        </w:rPr>
        <w:t xml:space="preserve">Главное правило: зависимости идут сверху вниз, а нижние слои не импортируют тесты и бизнес-сценарии.</w:t>
      </w:r>
      <w:r/>
    </w:p>
    <w:tbl>
      <w:tblPr>
        <w:tblStyle w:val="710"/>
        <w:jc w:val="center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2736"/>
        <w:gridCol w:w="6624"/>
        <w:tblGridChange w:id="7">
          <w:tblGrid>
            <w:gridCol w:w="2736"/>
            <w:gridCol w:w="6624"/>
          </w:tblGrid>
        </w:tblGridChange>
      </w:tblGrid>
      <w:tr>
        <w:trPr>
          <w:cantSplit w:val="false"/>
          <w:tblHeader/>
        </w:trPr>
        <w:tc>
          <w:tcPr>
            <w:shd w:val="clear" w:color="auto" w:fill="f2f2f2"/>
            <w:tcBorders/>
            <w:vAlign w:val="center"/>
          </w:tcPr>
          <w:p w14:paraId="000000ED">
            <w:pPr>
              <w:pBdr/>
              <w:spacing w:after="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Слой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vAlign w:val="center"/>
          </w:tcPr>
          <w:p w14:paraId="000000EE">
            <w:pPr>
              <w:pBdr/>
              <w:spacing w:after="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Что отвечает и где живет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EF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1. Тесты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0F0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F1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2. Шаги / business flows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0F2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F3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3. API clients и Page Objects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0F4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F5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4. Модели и схемы данных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0F6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models или schemas. Описывают Project, BuildType, Build, Agent, User, Role, Permission, статусы и контракты ответов.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F7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5. Fixtures, test data и cleanup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0F8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0F9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6. Инфраструктура, конфигурация и отчеты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0FA">
            <w:pPr>
              <w:pBdr/>
              <w:spacing w:after="40" w:line="252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config, bootstrap, reporting. Env vars, Docker helpers, readiness checks, logging, Allure/JUnit reports, screenshots/traces для UI.</w:t>
            </w:r>
            <w:r>
              <w:rPr>
                <w:rtl w:val="0"/>
              </w:rPr>
            </w:r>
            <w:r/>
          </w:p>
        </w:tc>
      </w:tr>
    </w:tbl>
    <w:p w14:paraId="000000FB">
      <w:pPr>
        <w:pBdr/>
        <w:spacing/>
        <w:ind/>
        <w:rPr/>
      </w:pPr>
      <w:r>
        <w:rPr>
          <w:rtl w:val="0"/>
        </w:rPr>
      </w:r>
      <w:r/>
    </w:p>
    <w:p w14:paraId="000000FC">
      <w:pPr>
        <w:pBdr/>
        <w:spacing/>
        <w:ind/>
        <w:rPr/>
      </w:pPr>
      <w:r>
        <w:rPr>
          <w:rtl w:val="0"/>
        </w:rPr>
        <w:t xml:space="preserve">UI и API остаются в одном репозитории, потому что используют общие модели, fixtures, конфигурацию и отчетность.</w:t>
      </w:r>
      <w:r/>
    </w:p>
    <w:p w14:paraId="000000FD">
      <w:pPr>
        <w:pBdr/>
        <w:spacing/>
        <w:ind/>
        <w:rPr/>
      </w:pPr>
      <w:r>
        <w:rPr>
          <w:rtl w:val="0"/>
        </w:rP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  <w:r/>
    </w:p>
    <w:p w14:paraId="000000FE">
      <w:pPr>
        <w:pBdr/>
        <w:spacing/>
        <w:ind/>
        <w:rPr/>
      </w:pPr>
      <w:r>
        <w:rPr>
          <w:rtl w:val="0"/>
        </w:rPr>
      </w:r>
      <w:r/>
    </w:p>
    <w:p w14:paraId="000000FF">
      <w:pPr>
        <w:pBdr/>
        <w:spacing/>
        <w:ind/>
        <w:rPr/>
      </w:pPr>
      <w:r>
        <w:br w:type="page" w:clear="all"/>
      </w:r>
      <w:r>
        <w:rPr>
          <w:rtl w:val="0"/>
        </w:rPr>
      </w:r>
      <w:r/>
    </w:p>
    <w:p w14:paraId="00000100">
      <w:pPr>
        <w:pBdr/>
        <w:spacing/>
        <w:ind/>
        <w:rPr/>
      </w:pPr>
      <w:r>
        <w:rPr>
          <w:rtl w:val="0"/>
        </w:rPr>
        <w:t xml:space="preserve">Визуализация:</w:t>
      </w:r>
      <w:r/>
    </w:p>
    <w:p w14:paraId="0000010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38650" cy="7019925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438650" cy="7019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9.50pt;height:552.75pt;mso-wrap-distance-left:0.00pt;mso-wrap-distance-top:0.00pt;mso-wrap-distance-right:0.00pt;mso-wrap-distance-bottom:0.00pt;z-index:1;">
                <v:imagedata r:id="rId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102">
      <w:pPr>
        <w:pStyle w:val="695"/>
        <w:pBdr/>
        <w:spacing w:after="120" w:before="240"/>
        <w:ind/>
        <w:rPr/>
      </w:pPr>
      <w:r/>
      <w:bookmarkStart w:id="8" w:name="s3cnhw9yxkja"/>
      <w:r/>
      <w:bookmarkEnd w:id="8"/>
      <w:r>
        <w:rPr>
          <w:rtl w:val="0"/>
        </w:rPr>
      </w:r>
      <w:r/>
    </w:p>
    <w:p w14:paraId="00000103">
      <w:pPr>
        <w:pStyle w:val="695"/>
        <w:pBdr/>
        <w:spacing w:after="120" w:before="240"/>
        <w:ind/>
        <w:rPr/>
      </w:pPr>
      <w:r>
        <w:rPr>
          <w:rtl w:val="0"/>
        </w:rPr>
        <w:t xml:space="preserve">Тестовое окружение</w:t>
      </w:r>
      <w:r/>
    </w:p>
    <w:tbl>
      <w:tblPr>
        <w:tblStyle w:val="711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F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DB Compatibility MVP /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Server + full Agent + PostgreSQL/MySQL/MariaDB/MS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MVP compatibility regression для поддерживаемых database backends: bootstrap, schema readiness, REST API, agent, project/build configuration, build run и build result.</w:t>
            </w:r>
            <w:r>
              <w:rPr>
                <w:rtl w:val="0"/>
              </w:rPr>
            </w:r>
            <w:r/>
          </w:p>
        </w:tc>
      </w:tr>
    </w:tbl>
    <w:p w14:paraId="00000113">
      <w:pPr>
        <w:pStyle w:val="695"/>
        <w:pBdr/>
        <w:spacing w:after="120" w:before="240"/>
        <w:ind/>
        <w:rPr/>
      </w:pPr>
      <w:r>
        <w:rPr>
          <w:rtl w:val="0"/>
        </w:rPr>
      </w:r>
      <w:r/>
    </w:p>
    <w:p w14:paraId="00000114">
      <w:pPr>
        <w:pStyle w:val="695"/>
        <w:pBdr/>
        <w:spacing w:after="120" w:before="240"/>
        <w:ind/>
        <w:rPr/>
      </w:pPr>
      <w:r>
        <w:rPr>
          <w:rtl w:val="0"/>
        </w:rPr>
        <w:t xml:space="preserve">Архитектура локального стенда:</w:t>
      </w:r>
      <w:r/>
    </w:p>
    <w:p w14:paraId="00000115">
      <w:pPr>
        <w:pBdr/>
        <w:spacing/>
        <w:ind/>
        <w:rPr/>
      </w:pPr>
      <w:r>
        <w:rPr>
          <w:rtl w:val="0"/>
        </w:rPr>
        <w:t xml:space="preserve">Компоненты стенда:</w:t>
      </w:r>
      <w:r/>
    </w:p>
    <w:p w14:paraId="00000116">
      <w:pPr>
        <w:numPr>
          <w:ilvl w:val="0"/>
          <w:numId w:val="8"/>
        </w:numPr>
        <w:pBdr/>
        <w:spacing/>
        <w:ind w:hanging="360" w:left="720"/>
        <w:rPr/>
      </w:pPr>
      <w:r>
        <w:rPr>
          <w:b/>
          <w:bCs/>
          <w:rtl w:val="0"/>
        </w:rPr>
        <w:t xml:space="preserve">TeamCity Server:</w:t>
      </w:r>
      <w:r>
        <w:rPr>
          <w:rtl w:val="0"/>
        </w:rPr>
        <w:t xml:space="preserve"> Контейнер с On-Premises версией TeamCity 2026.1.1 (build 222577). Версия релиза жестко зафиксирована для обеспечения воспроизводимости результатов. Сервер отвечает за оркестрацию, хранение конфигураций, предоставление REST API и UI. </w:t>
      </w:r>
      <w:r/>
    </w:p>
    <w:p w14:paraId="00000117">
      <w:pPr>
        <w:numPr>
          <w:ilvl w:val="0"/>
          <w:numId w:val="8"/>
        </w:numPr>
        <w:pBdr/>
        <w:spacing/>
        <w:ind w:hanging="360" w:left="720"/>
        <w:rPr/>
      </w:pPr>
      <w:r>
        <w:rPr>
          <w:b/>
          <w:bCs/>
          <w:rtl w:val="0"/>
        </w:rPr>
        <w:t xml:space="preserve">TeamCity Agent:</w:t>
      </w:r>
      <w:r>
        <w:rPr>
          <w:rtl w:val="0"/>
        </w:rPr>
        <w:t xml:space="preserve"> Контейнер, использующий полный официальный образ jetbrains/teamcity-agent:2026.1.1. Агент подключается к серверу и выполняет билд-шаги (например, Command Line runner).</w:t>
      </w:r>
      <w:r/>
    </w:p>
    <w:p w14:paraId="00000118">
      <w:pPr>
        <w:numPr>
          <w:ilvl w:val="0"/>
          <w:numId w:val="8"/>
        </w:numPr>
        <w:pBdr/>
        <w:spacing/>
        <w:ind w:hanging="360" w:left="720"/>
        <w:rPr/>
      </w:pPr>
      <w:r>
        <w:rPr>
          <w:b/>
          <w:bCs/>
          <w:rtl w:val="0"/>
        </w:rPr>
        <w:t xml:space="preserve">База данных (</w:t>
      </w:r>
      <w:r>
        <w:rPr>
          <w:b/>
          <w:bCs/>
          <w:rtl w:val="0"/>
        </w:rPr>
        <w:t xml:space="preserve">HSQLDB</w:t>
      </w:r>
      <w:r>
        <w:rPr>
          <w:b/>
          <w:bCs/>
          <w:rtl w:val="0"/>
        </w:rPr>
        <w:t xml:space="preserve">):</w:t>
      </w:r>
      <w:r>
        <w:rPr>
          <w:rtl w:val="0"/>
        </w:rPr>
        <w:t xml:space="preserve"> </w:t>
      </w:r>
      <w:r>
        <w:rPr>
          <w:rtl w:val="0"/>
        </w:rPr>
        <w:t xml:space="preserve">работает внутри контейнера сервера, не требует развертывания отдельного сервиса базы данных. </w:t>
      </w:r>
      <w:r>
        <w:rPr>
          <w:rtl w:val="0"/>
        </w:rPr>
      </w:r>
      <w:r/>
    </w:p>
    <w:p w14:paraId="00000119">
      <w:pPr>
        <w:pBdr/>
        <w:spacing/>
        <w:ind/>
        <w:rPr/>
      </w:pPr>
      <w:r>
        <w:rPr>
          <w:rtl w:val="0"/>
        </w:rPr>
      </w:r>
      <w:r/>
    </w:p>
    <w:p w14:paraId="0000011A">
      <w:pPr>
        <w:pBdr/>
        <w:spacing/>
        <w:ind/>
        <w:rPr/>
      </w:pPr>
      <w:r>
        <w:rPr>
          <w:rtl w:val="0"/>
        </w:rPr>
        <w:t xml:space="preserve">Схема взаимодействия:</w:t>
      </w:r>
      <w:r/>
    </w:p>
    <w:p w14:paraId="0000011B">
      <w:pPr>
        <w:numPr>
          <w:ilvl w:val="0"/>
          <w:numId w:val="4"/>
        </w:numPr>
        <w:pBdr/>
        <w:spacing w:after="0"/>
        <w:ind w:hanging="360" w:left="720"/>
        <w:rPr/>
      </w:pPr>
      <w:r>
        <w:rPr>
          <w:rtl w:val="0"/>
        </w:rPr>
        <w:t xml:space="preserve">Тестовый фреймворк обращается к teamcity-server: и UI-тесты, и API-тесты работают с одним и тем же хостом и портом, agent тестами не вызывается.</w:t>
      </w:r>
      <w:r>
        <w:rPr>
          <w:rtl w:val="0"/>
        </w:rPr>
      </w:r>
      <w:r/>
    </w:p>
    <w:p w14:paraId="0000011C">
      <w:pPr>
        <w:numPr>
          <w:ilvl w:val="0"/>
          <w:numId w:val="4"/>
        </w:numPr>
        <w:pBdr/>
        <w:spacing w:after="0"/>
        <w:ind w:hanging="360" w:left="720"/>
        <w:rPr/>
      </w:pPr>
      <w:r>
        <w:rPr>
          <w:rtl w:val="0"/>
        </w:rPr>
        <w:t xml:space="preserve">teamcity</w:t>
      </w:r>
      <w:r>
        <w:rPr>
          <w:rtl w:val="0"/>
        </w:rPr>
        <w:t xml:space="preserve">-agent взаимодействует только с teamcity-server внутри Docker-сети. Он получает задания на выполнение build и отдаёт результат обратно на сервер; тестовый фреймворк наблюдает за этим процессом только через REST API сервера, не подключаясь к agent напрямую.</w:t>
      </w:r>
      <w:r>
        <w:rPr>
          <w:rtl w:val="0"/>
        </w:rPr>
      </w:r>
      <w:r/>
    </w:p>
    <w:p w14:paraId="0000011D">
      <w:pPr>
        <w:numPr>
          <w:ilvl w:val="0"/>
          <w:numId w:val="4"/>
        </w:numPr>
        <w:pBdr/>
        <w:spacing/>
        <w:ind w:hanging="360" w:left="720"/>
        <w:rPr/>
      </w:pPr>
      <w:r>
        <w:rPr>
          <w:rtl w:val="0"/>
        </w:rPr>
        <w:t xml:space="preserve">teamcity-server взаимодействует с БД; тесты и agent не имеют прямого доступа к БД, кроме отдельно оговорённых случаев отладки.</w:t>
      </w:r>
      <w:r>
        <w:rPr>
          <w:rtl w:val="0"/>
        </w:rPr>
      </w:r>
      <w:r/>
    </w:p>
    <w:p w14:paraId="0000011E">
      <w:pPr>
        <w:pBdr/>
        <w:spacing/>
        <w:ind/>
        <w:rPr/>
      </w:pPr>
      <w:r>
        <w:rPr>
          <w:rtl w:val="0"/>
        </w:rPr>
      </w:r>
      <w:r/>
    </w:p>
    <w:p w14:paraId="0000011F">
      <w:pPr>
        <w:pBdr/>
        <w:spacing/>
        <w:ind/>
        <w:rPr/>
      </w:pPr>
      <w:r>
        <w:rPr>
          <w:rtl w:val="0"/>
        </w:rPr>
      </w:r>
      <w:r/>
    </w:p>
    <w:p w14:paraId="00000120">
      <w:pPr>
        <w:pBdr/>
        <w:spacing/>
        <w:ind/>
        <w:rPr/>
      </w:pPr>
      <w:r>
        <w:rPr>
          <w:rtl w:val="0"/>
        </w:rPr>
      </w:r>
      <w:r/>
    </w:p>
    <w:p w14:paraId="00000121">
      <w:pPr>
        <w:pBdr/>
        <w:spacing/>
        <w:ind/>
        <w:rPr/>
      </w:pPr>
      <w:r>
        <w:rPr>
          <w:rtl w:val="0"/>
        </w:rPr>
      </w:r>
      <w:r/>
    </w:p>
    <w:p w14:paraId="00000122">
      <w:pPr>
        <w:pStyle w:val="695"/>
        <w:pBdr/>
        <w:spacing w:after="120" w:before="240"/>
        <w:ind/>
        <w:rPr/>
      </w:pPr>
      <w:r/>
      <w:bookmarkStart w:id="9" w:name="e4vxp8heps31"/>
      <w:r/>
      <w:bookmarkEnd w:id="9"/>
      <w:r>
        <w:rPr>
          <w:rtl w:val="0"/>
        </w:rPr>
        <w:t xml:space="preserve">Критичный MVP-сценарий автоматизации</w:t>
      </w:r>
      <w:r/>
    </w:p>
    <w:p w14:paraId="00000123">
      <w:pPr>
        <w:pBdr/>
        <w:spacing w:line="259" w:lineRule="auto"/>
        <w:ind/>
        <w:rPr/>
      </w:pPr>
      <w:r>
        <w:rPr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/>
    </w:p>
    <w:tbl>
      <w:tblPr>
        <w:tblStyle w:val="712"/>
        <w:tblW w:w="9689" w:type="dxa"/>
        <w:tblBorders/>
        <w:tblLayout w:type="fixed"/>
        <w:tblLook w:val="0400" w:firstRow="0" w:lastRow="0" w:firstColumn="0" w:lastColumn="0" w:noHBand="0" w:noVBand="1"/>
      </w:tblPr>
      <w:tblGrid>
        <w:gridCol w:w="390"/>
        <w:gridCol w:w="2877"/>
        <w:gridCol w:w="1342"/>
        <w:gridCol w:w="5080"/>
        <w:tblGridChange w:id="9">
          <w:tblGrid>
            <w:gridCol w:w="390"/>
            <w:gridCol w:w="2877"/>
            <w:gridCol w:w="1342"/>
            <w:gridCol w:w="5080"/>
          </w:tblGrid>
        </w:tblGridChange>
      </w:tblGrid>
      <w:tr>
        <w:trPr>
          <w:cantSplit w:val="false"/>
          <w:tblHeader/>
        </w:trPr>
        <w:tc>
          <w:tcPr>
            <w:tcBorders/>
            <w:vAlign w:val="center"/>
          </w:tcPr>
          <w:p w14:paraId="00000124">
            <w:pPr>
              <w:pBdr/>
              <w:spacing w:after="0" w:line="240" w:lineRule="auto"/>
              <w:ind/>
              <w:jc w:val="center"/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  <w:rtl w:val="0"/>
              </w:rPr>
              <w:t xml:space="preserve">Шаг</w:t>
            </w: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5">
            <w:pPr>
              <w:pBdr/>
              <w:spacing w:after="0" w:line="240" w:lineRule="auto"/>
              <w:ind/>
              <w:jc w:val="center"/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  <w:rtl w:val="0"/>
              </w:rPr>
              <w:t xml:space="preserve">Действие</w:t>
            </w: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6">
            <w:pPr>
              <w:pBdr/>
              <w:spacing w:after="0" w:line="240" w:lineRule="auto"/>
              <w:ind/>
              <w:jc w:val="center"/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  <w:rtl w:val="0"/>
              </w:rPr>
              <w:t xml:space="preserve">Уровень проверки</w:t>
            </w: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7">
            <w:pPr>
              <w:pBdr/>
              <w:spacing w:after="0" w:line="240" w:lineRule="auto"/>
              <w:ind/>
              <w:jc w:val="center"/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  <w:rtl w:val="0"/>
              </w:rPr>
              <w:t xml:space="preserve">Ожидаемый результат</w:t>
            </w: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28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1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9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Проверить доступность TeamCity Server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A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B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GET /app/rest/server возвращает успешный ответ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2C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2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D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Проверить готовность agent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E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2F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Есть authorized/connected agent, способный выполнять build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30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3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1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Выполнить UI smoke login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2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UI Smoke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3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Пользователь может войти и открыть Projects page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34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4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5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Создать test project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6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7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Project создан и доступен через REST 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38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5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9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Создать VCS root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A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B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VCS root создан и привязан к test project/build configuration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3C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6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D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Создать build configuration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E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3F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Build configuration создана и доступна через REST 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40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7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1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Добавить простой build step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2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3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Build step сохранен в build configuration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44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8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5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Запустить build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6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/ E2E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7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Build добавлен в build queue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48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9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9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Проверить build execution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A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/ E2E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B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Build стартует на agent и завершается ожидаемым статусом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4C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10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D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Проверить build result/log metadata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E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4F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Статус, история и базовая информация о логах доступны через REST API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50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11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51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Выполнить read-only UI проверку результата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52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UI Smoke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53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Queue/Build Result page открывается, результат build виден в UI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  <w:tr>
        <w:trPr>
          <w:cantSplit w:val="false"/>
        </w:trPr>
        <w:tc>
          <w:tcPr>
            <w:tcBorders/>
            <w:vAlign w:val="center"/>
          </w:tcPr>
          <w:p w14:paraId="00000154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12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55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Очистить тестовые данные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56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  <w:tc>
          <w:tcPr>
            <w:tcBorders/>
            <w:vAlign w:val="center"/>
          </w:tcPr>
          <w:p w14:paraId="00000157">
            <w:pPr>
              <w:pBdr/>
              <w:spacing w:after="0" w:line="360" w:lineRule="auto"/>
              <w:ind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Созданные test project/build configuration/build data удалены или изолированы</w:t>
            </w:r>
            <w:r>
              <w:rPr>
                <w:rFonts w:ascii="Calibri" w:hAnsi="Calibri" w:eastAsia="Calibri" w:cs="Calibri"/>
                <w:sz w:val="18"/>
                <w:szCs w:val="18"/>
              </w:rPr>
            </w:r>
          </w:p>
        </w:tc>
      </w:tr>
    </w:tbl>
    <w:p w14:paraId="00000158">
      <w:pPr>
        <w:pStyle w:val="695"/>
        <w:pBdr/>
        <w:spacing w:after="120" w:before="240"/>
        <w:ind/>
        <w:rPr/>
      </w:pPr>
      <w:r/>
      <w:bookmarkStart w:id="10" w:name="joghio4kfx4v"/>
      <w:r/>
      <w:bookmarkEnd w:id="10"/>
      <w:r>
        <w:rPr>
          <w:rtl w:val="0"/>
        </w:rPr>
        <w:t xml:space="preserve">UI Automation Scope </w:t>
      </w:r>
      <w:r/>
    </w:p>
    <w:p w14:paraId="00000159">
      <w:pPr>
        <w:pBdr/>
        <w:spacing/>
        <w:ind/>
        <w:rPr/>
      </w:pPr>
      <w:r>
        <w:rPr>
          <w:rtl w:val="0"/>
        </w:rPr>
        <w:t xml:space="preserve">На первом этапе UI-автоматизация ограничивается одним happy path: login, открытие Projects page, переход к заранее созданным через API project/build configuration и read-only проверка Queue/Build Result. UI не создает и не изменяет тестовые данные.</w:t>
      </w:r>
      <w:r/>
    </w:p>
    <w:p w14:paraId="0000015A">
      <w:pPr>
        <w:pBdr/>
        <w:spacing/>
        <w:ind/>
        <w:rPr/>
      </w:pPr>
      <w:r>
        <w:rPr>
          <w:rtl w:val="0"/>
        </w:rPr>
        <w:t xml:space="preserve">Initial setup, database setup, создание первого администратора, установка и авторизация TeamCity Agent не автоматизируются через UI в MVP; если эти шаги нужны для окружения, они выполняются bootstrap/API на уровне подготовки стенда.</w:t>
      </w:r>
      <w:r/>
    </w:p>
    <w:p w14:paraId="0000015B">
      <w:pPr>
        <w:pBdr/>
        <w:spacing/>
        <w:ind/>
        <w:rPr/>
      </w:pPr>
      <w:r>
        <w:rPr>
          <w:rtl w:val="0"/>
        </w:rPr>
        <w:t xml:space="preserve">Подготовка тестовых данн</w:t>
      </w:r>
      <w:r>
        <w:rPr>
          <w:rtl w:val="0"/>
        </w:rPr>
        <w:t xml:space="preserve">ых, создание project/build configuration/VCS root, запуск build, проверка queue/build status/build history и cleanup выполняются через TeamCity REST API. UI используется только для проверки, что подготовленное состояние корректно отображается пользователю.</w:t>
      </w:r>
      <w:r/>
    </w:p>
    <w:p w14:paraId="0000015C">
      <w:pPr>
        <w:pStyle w:val="695"/>
        <w:pBdr/>
        <w:spacing w:after="120" w:before="240"/>
        <w:ind/>
        <w:rPr/>
      </w:pPr>
      <w:r/>
      <w:bookmarkStart w:id="11" w:name="jcywmhet1p35"/>
      <w:r/>
      <w:bookmarkEnd w:id="11"/>
      <w:r>
        <w:rPr>
          <w:rtl w:val="0"/>
        </w:rPr>
        <w:t xml:space="preserve">Стратегия тестовых данных</w:t>
      </w:r>
      <w:r/>
    </w:p>
    <w:p w14:paraId="0000015D">
      <w:pPr>
        <w:pBdr/>
        <w:spacing w:line="259" w:lineRule="auto"/>
        <w:ind/>
        <w:rPr/>
      </w:pPr>
      <w:r>
        <w:rPr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/>
    </w:p>
    <w:p w14:paraId="0000015E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color w:val="000000"/>
        </w:rPr>
      </w:r>
    </w:p>
    <w:p w14:paraId="0000015F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Все тестовые данные создаются через REST API/bootstrap. UI используется только для одного happy-path read-only flow и не является источником тестовых данных.</w:t>
      </w:r>
      <w:r>
        <w:rPr>
          <w:color w:val="000000"/>
        </w:rPr>
      </w:r>
    </w:p>
    <w:p w14:paraId="00000160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Cleanup выполнять через REST API либо полным reset окружения в Docker.</w:t>
      </w:r>
      <w:r>
        <w:rPr>
          <w:color w:val="000000"/>
        </w:rPr>
      </w:r>
    </w:p>
    <w:p w14:paraId="00000161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Не хранить реальные секреты, пароли и access tokens в репозитории.</w:t>
      </w:r>
      <w:r>
        <w:rPr>
          <w:color w:val="000000"/>
        </w:rPr>
      </w:r>
    </w:p>
    <w:p w14:paraId="00000162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Для CI использовать временные credentials из переменных окружения.</w:t>
      </w:r>
      <w:r>
        <w:rPr>
          <w:color w:val="000000"/>
        </w:rPr>
      </w:r>
    </w:p>
    <w:p w14:paraId="00000163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color w:val="000000"/>
        </w:rPr>
      </w:r>
    </w:p>
    <w:tbl>
      <w:tblPr>
        <w:tblStyle w:val="713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4896"/>
        <w:gridCol w:w="4896"/>
        <w:tblGridChange w:id="1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4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Тип теста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5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Источник данных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6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UI Smoke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7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Данные заранее создаются через REST API/bootstrap; UI только выполняет один happy-path read-only flow: login, Projects page, Build Configuration/Queue/Build Result.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8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API Tests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9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API-generated projects, build configurations, builds, tokens.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A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E2E Tests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B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API setup + API build run + read-only UI confirmation; cleanup через REST API или Docker reset.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C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Database compatibility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D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E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Roles / Permissions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F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Admin user + ограниченные test users; финальная матрица ролей уточняется TODO.</w:t>
            </w:r>
            <w:r>
              <w:rPr>
                <w:rtl w:val="0"/>
              </w:rPr>
            </w:r>
            <w:r/>
          </w:p>
        </w:tc>
      </w:tr>
    </w:tbl>
    <w:p w14:paraId="00000170">
      <w:pPr>
        <w:pBdr/>
        <w:spacing/>
        <w:ind/>
        <w:rPr/>
      </w:pPr>
      <w:r>
        <w:rPr>
          <w:rtl w:val="0"/>
        </w:rPr>
      </w:r>
      <w:r/>
    </w:p>
    <w:p w14:paraId="00000171">
      <w:pPr>
        <w:pStyle w:val="695"/>
        <w:pBdr/>
        <w:spacing w:after="120" w:before="240"/>
        <w:ind/>
        <w:rPr/>
      </w:pPr>
      <w:r/>
      <w:bookmarkStart w:id="12" w:name="4jldl3v1wnlz"/>
      <w:r/>
      <w:bookmarkEnd w:id="12"/>
      <w:r>
        <w:rPr>
          <w:rtl w:val="0"/>
        </w:rPr>
        <w:t xml:space="preserve">Тестовые сценарии и скоуп</w:t>
      </w:r>
      <w:r/>
    </w:p>
    <w:tbl>
      <w:tblPr>
        <w:tblStyle w:val="714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2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Группа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3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In Scope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2" w:lineRule="auto"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Out of Scope на первые 4 недели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5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Login / Authorization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Admin login/logout, invalid credentials, REST API без/с неверным token, проверка access token.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Initial setup, database setup, создание первого администратора, enterprise auth flows.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8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Projects / Build Configurations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Создание project, build configuration, VCS root, build step через REST API; проверка видимости в UI/API.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Полное покрытие всех настроек project/build configuration.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B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Agent Readiness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Проверка, что есть один authorized/connected agent, совместимый с build configuration.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Cloud agents, сложные agent pools, масштабирование, полноценное тестирование agent management.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E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Build Execution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F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Простой build через Command Line runner, success/failure status, build queue, build log, build history.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0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Все runners, plugin-specific behavior, сложные build chains.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1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Core REST API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2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Server info, projects, buildTypes, VCS roots, buildQueue, builds, agents, negative auth checks.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3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Полное покрытие всех REST endpoints.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4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UI Smoke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5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Один happy path: login, Projects page, переход к заранее созданной через API Build Configuration, Queue/Build Result read-only checks.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6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Создание данных через UI, редактирование project/build configuration через UI, нестабильные длинные UI E2E flows.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7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CI Pipeline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8">
            <w:pPr>
              <w:pBdr/>
              <w:spacing w:after="0" w:line="240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Поднять стенд, проверить readiness, запустить API/UI/E2E suites, запустить DB compatibility jobs (PostgreSQL/MySQL/MariaDB/MS SQL/Oracle), собрать Allure отчет и метрики (pass rate, fail rate, duration, flaky), применить quality gates.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9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Production deployment, release-инфраструктура.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A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Security / Permissions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B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Минимально: admin vs limited user, запрет запуска/редактирования без прав, token negative checks.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C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Полный pentest, полная RBAC-матрица, SAML/LDAP/OAuth.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D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Database Compatibility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E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Входит в MVP: PostgreSQL production-like + MySQL/MariaDB/MS SQL/Oracle compatibility regression. Проверяем bootstrap, schema readiness, REST API, agent authorization, project/build configuration, simple build, build result.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8F">
            <w:pPr>
              <w:pBdr/>
              <w:spacing w:after="0" w:line="252" w:lineRule="auto"/>
              <w:ind/>
              <w:rPr/>
            </w:pPr>
            <w:r>
              <w:rPr>
                <w:sz w:val="18"/>
                <w:szCs w:val="18"/>
                <w:rtl w:val="0"/>
              </w:rPr>
              <w:t xml:space="preserve">Глубокое покрытие всех runners, plugins, build chains и performance/load DB testing на каждой БД; сложные upgrade/migration сценарии.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90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Traceability / Test Cases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91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testit</w:t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92">
            <w:pPr>
              <w:pBdr/>
              <w:spacing w:after="0" w:line="252" w:lineRule="auto"/>
              <w:ind/>
              <w:rPr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</w:tbl>
    <w:p w14:paraId="00000193">
      <w:pPr>
        <w:pBdr/>
        <w:spacing/>
        <w:ind/>
        <w:rPr/>
      </w:pPr>
      <w:r>
        <w:rPr>
          <w:rtl w:val="0"/>
        </w:rPr>
      </w:r>
      <w:r/>
    </w:p>
    <w:p w14:paraId="00000194">
      <w:pPr>
        <w:pStyle w:val="695"/>
        <w:pBdr/>
        <w:spacing w:after="120" w:before="240"/>
        <w:ind/>
        <w:rPr/>
      </w:pPr>
      <w:r>
        <w:rPr>
          <w:rtl w:val="0"/>
        </w:rPr>
        <w:t xml:space="preserve">Поэтапный план</w:t>
      </w:r>
      <w:r/>
    </w:p>
    <w:p w14:paraId="00000195">
      <w:pPr>
        <w:pBdr/>
        <w:spacing w:after="160"/>
        <w:ind/>
        <w:rPr/>
      </w:pPr>
      <w:r>
        <w:rPr>
          <w:rtl w:val="0"/>
        </w:rPr>
        <w:t xml:space="preserve">Основные этапы внедрения MVP автоматизаци</w:t>
      </w:r>
      <w:r>
        <w:rPr>
          <w:rtl w:val="0"/>
        </w:rPr>
        <w:t xml:space="preserve">и рассчитаны на 4 недели. Для каждого этапа фиксируются цель, срок, ключевые шаги и ожидаемый результат. CI/CD развивается параллельно по мере появления API/UI тестов, но основной фокус на сборку пайплайна, отчетности и quality gates выносится на 4 неделю.</w:t>
      </w:r>
      <w:r/>
    </w:p>
    <w:tbl>
      <w:tblPr>
        <w:tblStyle w:val="715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1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96">
            <w:pPr>
              <w:pBdr/>
              <w:spacing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Этап / срок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97">
            <w:pPr>
              <w:pBdr/>
              <w:spacing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Цель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98">
            <w:pPr>
              <w:pBdr/>
              <w:spacing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Ключевые шаги и результат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99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6"/>
                <w:szCs w:val="16"/>
                <w:rtl w:val="0"/>
              </w:rPr>
              <w:t xml:space="preserve">Этап 1: тест-дизайн и критичный scope</w:t>
              <w:br/>
              <w:t xml:space="preserve">Срок: 1 неделя (1-я неделя проекта)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9A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Определить, какие критичные сценарии TeamCity входят в MVP автоматизации и как они будут проверяться: API, UI или E2E.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9B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Ключевые шаги: выбрать TMS; описать ручные </w:t>
            </w:r>
            <w:r>
              <w:rPr>
                <w:sz w:val="16"/>
                <w:szCs w:val="16"/>
                <w:rtl w:val="0"/>
              </w:rPr>
              <w:t xml:space="preserve">тест-кейсы для P0/P1 сценариев; определить scope критичной функциональности; разделить проверки на API/UI/E2E; зафиксировать expected results, тестовые данные и риски. Результат: готов утвержденный MVP-scope и набор критичных тест-кейсов для автоматизации.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9C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6"/>
                <w:szCs w:val="16"/>
                <w:rtl w:val="0"/>
              </w:rPr>
              <w:t xml:space="preserve">Этап 2: базовый фреймворк и API автотесты</w:t>
              <w:br/>
              <w:t xml:space="preserve">Срок: 1 неделя (2-я неделя проекта)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9D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Построить основу фреймворка и закрыть быстрым стабильным покрытием критичные REST API сценарии.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9E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Ключевые шаги: создать структуру Python/Pytest framework; настроить конфигурацию, fixtures, API clients, генерацию уникальных данных, cleanup и базовое логирован</w:t>
            </w:r>
            <w:r>
              <w:rPr>
                <w:sz w:val="16"/>
                <w:szCs w:val="16"/>
                <w:rtl w:val="0"/>
              </w:rPr>
              <w:t xml:space="preserve">ие; реализовать API тесты для readiness/server info, project, build configuration, build run, build status, authorization/permissions negative checks; начать базовую интеграцию с CI. Результат: API suite запускается локально и готов к включению в pipeline.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9F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6"/>
                <w:szCs w:val="16"/>
                <w:rtl w:val="0"/>
              </w:rPr>
              <w:t xml:space="preserve">Этап 3: UI слой фреймворка и UI автотесты</w:t>
              <w:br/>
              <w:t xml:space="preserve">Срок: 1 неделя (3-я неделя проекта)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0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Добавить UI слой во фреймворк и автоматизировать один стабильный happy path, который подтверждает, что подготовленные через API данные корректно видны в интерфейсе.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1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Ключевые шаги: добавить Playwright layer, pages/components, стабильные локаторы и ожидания; настроить screenshots/video/trace; реализовать один UI happy path: login, Projects page,</w:t>
            </w:r>
            <w:r>
              <w:rPr>
                <w:sz w:val="16"/>
                <w:szCs w:val="16"/>
                <w:rtl w:val="0"/>
              </w:rPr>
              <w:t xml:space="preserve"> переход к заранее созданной через API Build Configuration и read-only проверка Queue/Build Result; продолжить параллельную подготовку pipeline. Результат: UI smoke подтверждает критичный пользовательский путь и дает диагностические артефакты при падениях.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A2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6"/>
                <w:szCs w:val="16"/>
                <w:rtl w:val="0"/>
              </w:rPr>
              <w:t xml:space="preserve">Этап 4: CI/CD, отчетность и quality gates</w:t>
              <w:br/>
              <w:t xml:space="preserve">Срок: 1 неделя (4-я неделя проекта)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3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Собрать воспроизводимый pipeline, который поднимает стенд, запускает автотесты, публикует отчет и блокирует некачественный результат.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4">
            <w:pPr>
              <w:pBdr/>
              <w:spacing w:after="0" w:line="240" w:lineRule="auto"/>
              <w:ind/>
              <w:rPr/>
            </w:pPr>
            <w:r>
              <w:rPr>
                <w:sz w:val="16"/>
                <w:szCs w:val="16"/>
                <w:rtl w:val="0"/>
              </w:rPr>
              <w:t xml:space="preserve">Ключевые шаги: настроить bootstrap TeamCity стенда; запуск API/UI/E2E suites; добавить DB compatibility jobs для PostgreSQL/MySQL/MariaDB/MS SQL/Oracle; публикацию Allure Report; сбор метрик pass rate, fai</w:t>
            </w:r>
            <w:r>
              <w:rPr>
                <w:sz w:val="16"/>
                <w:szCs w:val="16"/>
                <w:rtl w:val="0"/>
              </w:rPr>
              <w:t xml:space="preserve">l rate, duration, flaky failures, failed/skipped tests; quality gates автотестов; Telegram bot уведомления со статусом прогона, ссылкой на отчет и списком критичных падений; стабилизацию flaky тестов. Результат: готов demo-прогон MVP автоматизации в CI/CD.</w:t>
            </w:r>
            <w:r>
              <w:rPr>
                <w:rtl w:val="0"/>
              </w:rPr>
            </w:r>
            <w:r/>
          </w:p>
        </w:tc>
      </w:tr>
    </w:tbl>
    <w:p w14:paraId="000001A5">
      <w:pPr>
        <w:pBdr/>
        <w:spacing/>
        <w:ind/>
        <w:rPr/>
      </w:pPr>
      <w:r>
        <w:rPr>
          <w:rtl w:val="0"/>
        </w:rPr>
      </w:r>
      <w:r/>
    </w:p>
    <w:p w14:paraId="000001A6">
      <w:pPr>
        <w:pStyle w:val="695"/>
        <w:pBdr/>
        <w:spacing w:after="120" w:before="240"/>
        <w:ind/>
        <w:rPr/>
      </w:pPr>
      <w:r>
        <w:rPr>
          <w:rtl w:val="0"/>
        </w:rPr>
        <w:t xml:space="preserve">Необходимые ресурсы</w:t>
      </w:r>
      <w:r/>
    </w:p>
    <w:p w14:paraId="000001A7">
      <w:pPr>
        <w:pBdr/>
        <w:spacing w:after="160"/>
        <w:ind/>
        <w:rPr/>
      </w:pPr>
      <w:r>
        <w:rPr>
          <w:rtl w:val="0"/>
        </w:rPr>
        <w:t xml:space="preserve">Для реализации MVP автоматизации внешние ресурсы не требуются. Все работы выполняются силами QA Automation Engineers: выбор TMS, описание тестовых сценариев, автоматизация API/UI проверок, настройка CI/CD, отчетности, quality gates и уведомлений.</w:t>
      </w:r>
      <w:r/>
    </w:p>
    <w:tbl>
      <w:tblPr>
        <w:tblStyle w:val="716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1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A8">
            <w:pPr>
              <w:pBdr/>
              <w:spacing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Неделя / задача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A9">
            <w:pPr>
              <w:pBdr/>
              <w:spacing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Ответственный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AA">
            <w:pPr>
              <w:pBdr/>
              <w:spacing/>
              <w:ind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Ожидание / результат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AB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Неделя 1: выбор TMS и описание критичных тестовых сценариев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C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QA Automation Engineers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D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Выбрана TMS для хранения тест-кейсов. Описаны критичные P0/P1 сц</w:t>
            </w:r>
            <w:r>
              <w:rPr>
                <w:sz w:val="17"/>
                <w:szCs w:val="17"/>
                <w:rtl w:val="0"/>
              </w:rPr>
              <w:t xml:space="preserve">енарии TeamCity: first start, создание администратора, роли и права доступа, agent authorization, project, build configuration, build run, build result. Для каждого сценария указаны шаги, expected result, приоритет и уровень автоматизации: API, UI или E2E.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AE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Неделя 2: автоматизация API-сценариев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AF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QA Automation Engineers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0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Реализованы базовые API автотесты для</w:t>
            </w:r>
            <w:r>
              <w:rPr>
                <w:sz w:val="17"/>
                <w:szCs w:val="17"/>
                <w:rtl w:val="0"/>
              </w:rPr>
              <w:t xml:space="preserve"> Core REST API: readiness/server info, создание project, создание build configuration, запуск build, получение build status, negative checks для авторизации и прав доступа. Подготовлены API-клиенты, fixtures, генерация уникальных тестовых данных и cleanup.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B1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Неделя 3: автоматизация UI-сценариев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2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QA Automation Engineers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3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Реализован один UI happy path</w:t>
            </w:r>
            <w:r>
              <w:rPr>
                <w:sz w:val="17"/>
                <w:szCs w:val="17"/>
                <w:rtl w:val="0"/>
              </w:rPr>
              <w:t xml:space="preserve">, который не создает тестовые данные: login, Projects page, переход к заранее созданной через API Build Configuration, read-only проверка Queue/Build Result. Для UI-теста настроены стабильные локаторы, ожидания, screenshots/video/trace для разбора падений.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B4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Неделя 4: настройка CI/CD, отчетности и quality gates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5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QA Automation Engineers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6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Настроен pipeline, который поднимает TeamCity стенд, выполняет bootstrap, запускает API/UI/E2E а</w:t>
            </w:r>
            <w:r>
              <w:rPr>
                <w:sz w:val="17"/>
                <w:szCs w:val="17"/>
                <w:rtl w:val="0"/>
              </w:rPr>
              <w:t xml:space="preserve">втотесты и DB compatibility jobs для PostgreSQL/MySQL/MariaDB/MS SQL/Oracle, затем публикует результаты. Подключен Allure Report с метриками pass rate, fail rate, duration, flaky failures, failed tests и skipped tests. Настроены quality gates автотестов: p</w:t>
            </w:r>
            <w:r>
              <w:rPr>
                <w:sz w:val="17"/>
                <w:szCs w:val="17"/>
                <w:rtl w:val="0"/>
              </w:rPr>
              <w:t xml:space="preserve">ipeline не считается успешным, если падают критичные P0/P1 проверки, DB compatibility checks или pass rate ниже заданного порога. Добавлены уведомления в Telegram через bot: статус прогона, ссылка на отчет, passed/failed/skipped и список критичных падений.</w:t>
            </w:r>
            <w:r>
              <w:rPr>
                <w:rtl w:val="0"/>
              </w:rPr>
            </w:r>
            <w:r/>
          </w:p>
        </w:tc>
      </w:tr>
    </w:tbl>
    <w:p w14:paraId="000001B7">
      <w:pPr>
        <w:pBdr/>
        <w:spacing/>
        <w:ind/>
        <w:rPr/>
      </w:pPr>
      <w:r>
        <w:rPr>
          <w:rtl w:val="0"/>
        </w:rPr>
      </w:r>
      <w:r/>
    </w:p>
    <w:p w14:paraId="000001B8">
      <w:pPr>
        <w:pBdr/>
        <w:spacing/>
        <w:ind/>
        <w:rPr/>
      </w:pPr>
      <w:r>
        <w:rPr>
          <w:rtl w:val="0"/>
        </w:rPr>
      </w:r>
      <w:r/>
    </w:p>
    <w:p w14:paraId="000001B9">
      <w:pPr>
        <w:pStyle w:val="695"/>
        <w:pBdr/>
        <w:spacing w:after="120" w:before="240"/>
        <w:ind/>
        <w:rPr/>
      </w:pPr>
      <w:r/>
      <w:bookmarkStart w:id="13" w:name="uknmyuqdcylw"/>
      <w:r/>
      <w:bookmarkEnd w:id="13"/>
      <w:r>
        <w:rPr>
          <w:rtl w:val="0"/>
        </w:rPr>
        <w:t xml:space="preserve">Риски</w:t>
      </w:r>
      <w:r/>
    </w:p>
    <w:tbl>
      <w:tblPr>
        <w:tblStyle w:val="717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1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BA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Риск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BB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Влияние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BC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sz w:val="18"/>
                <w:szCs w:val="18"/>
                <w:rtl w:val="0"/>
              </w:rPr>
              <w:t xml:space="preserve">Как минимизировать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BD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Состояние data directory и agent conf делает прогоны невоспроизводимыми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E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BF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C0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Fast CI на HSQLDB не покрывает production-like поведение внешних БД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1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2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Оставить HSQLDB для быстрого PR-контура, добавить PostgreSQL production-like job на main/release и nightly compatibility regression для MySQL, MariaDB, MS SQL Server и Oracle.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C3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UI автотесты становятся flaky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4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P0 UI flow снижает доверие к автотестам, ухудшает Pass Rate и мешает достигнуть Flaky Rate &lt;= 3%.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5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C6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Матрица ролей и прав доступа не зафиксирована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7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8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tcBorders/>
            <w:vAlign w:val="center"/>
          </w:tcPr>
          <w:p w14:paraId="000001C9">
            <w:pPr>
              <w:pBdr/>
              <w:spacing w:after="0" w:line="240" w:lineRule="auto"/>
              <w:ind/>
              <w:rPr/>
            </w:pPr>
            <w:r>
              <w:rPr>
                <w:b/>
                <w:bCs/>
                <w:sz w:val="17"/>
                <w:szCs w:val="17"/>
                <w:rtl w:val="0"/>
              </w:rPr>
              <w:t xml:space="preserve">Тестовые данные конфликтуют между прогонами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A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</w:tcPr>
          <w:p w14:paraId="000001CB">
            <w:pPr>
              <w:pBdr/>
              <w:spacing w:after="0" w:line="240" w:lineRule="auto"/>
              <w:ind/>
              <w:rPr/>
            </w:pPr>
            <w:r>
              <w:rPr>
                <w:sz w:val="17"/>
                <w:szCs w:val="17"/>
                <w:rtl w:val="0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>
              <w:rPr>
                <w:rtl w:val="0"/>
              </w:rPr>
            </w:r>
            <w:r/>
          </w:p>
        </w:tc>
      </w:tr>
    </w:tbl>
    <w:p w14:paraId="000001CC">
      <w:pPr>
        <w:pBdr/>
        <w:spacing/>
        <w:ind/>
        <w:rPr/>
      </w:pPr>
      <w:r>
        <w:rPr>
          <w:rtl w:val="0"/>
        </w:rPr>
      </w:r>
      <w:r/>
    </w:p>
    <w:p w14:paraId="000001CD">
      <w:pPr>
        <w:pStyle w:val="695"/>
        <w:pBdr/>
        <w:spacing w:after="120" w:before="240"/>
        <w:ind/>
        <w:rPr/>
      </w:pPr>
      <w:r/>
      <w:bookmarkStart w:id="14" w:name="ubkots2v0gfy"/>
      <w:r/>
      <w:bookmarkEnd w:id="14"/>
      <w:r>
        <w:rPr>
          <w:rtl w:val="0"/>
        </w:rPr>
        <w:t xml:space="preserve">Отслеживание процесса</w:t>
      </w:r>
      <w:r/>
    </w:p>
    <w:p w14:paraId="000001CE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Еженедельный demo-результат по завершенной части flow.</w:t>
      </w:r>
      <w:r>
        <w:rPr>
          <w:color w:val="000000"/>
        </w:rPr>
      </w:r>
    </w:p>
    <w:p w14:paraId="000001CF">
      <w:pPr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0" w:line="259" w:lineRule="auto"/>
        <w:ind w:hanging="360" w:left="360"/>
        <w:rPr>
          <w:color w:val="000000"/>
        </w:rPr>
      </w:pPr>
      <w:r>
        <w:rPr>
          <w:color w:val="000000"/>
          <w:rtl w:val="0"/>
        </w:rPr>
        <w:t xml:space="preserve">Отчетность автотестов в CI: pass/fail, duration, flaky failures, логи и screenshots для UI.</w:t>
      </w:r>
      <w:r>
        <w:rPr>
          <w:color w:val="000000"/>
        </w:rPr>
      </w:r>
    </w:p>
    <w:p w14:paraId="000001D0">
      <w:pPr>
        <w:pStyle w:val="695"/>
        <w:pBdr/>
        <w:spacing w:after="120" w:before="240"/>
        <w:ind/>
        <w:rPr/>
      </w:pPr>
      <w:r>
        <w:rPr>
          <w:rtl w:val="0"/>
        </w:rPr>
        <w:t xml:space="preserve">Структура команды тестирования TODO</w:t>
      </w:r>
      <w:r/>
    </w:p>
    <w:tbl>
      <w:tblPr>
        <w:tblStyle w:val="718"/>
        <w:tblInd w:w="-120" w:type="dxa"/>
        <w:tblW w:w="9792" w:type="dxa"/>
        <w:tblBorders/>
        <w:tblLayout w:type="fixed"/>
        <w:tblLook w:val="0400" w:firstRow="0" w:lastRow="0" w:firstColumn="0" w:lastColumn="0" w:noHBand="0" w:noVBand="1"/>
      </w:tblPr>
      <w:tblGrid>
        <w:gridCol w:w="3264"/>
        <w:gridCol w:w="3264"/>
        <w:gridCol w:w="3264"/>
        <w:tblGridChange w:id="1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1">
            <w:pPr>
              <w:pBdr/>
              <w:spacing w:after="0" w:line="259" w:lineRule="auto"/>
              <w:ind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ФИО</w:t>
            </w:r>
            <w:r>
              <w:rPr>
                <w:b/>
                <w:bCs/>
                <w:sz w:val="19"/>
                <w:szCs w:val="19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2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3">
            <w:pPr>
              <w:pBdr/>
              <w:spacing w:after="0" w:line="259" w:lineRule="auto"/>
              <w:ind/>
              <w:rPr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4">
            <w:pPr>
              <w:pBdr/>
              <w:spacing w:after="0" w:line="259" w:lineRule="auto"/>
              <w:ind/>
              <w:rPr>
                <w:b/>
                <w:bCs/>
                <w:sz w:val="19"/>
                <w:szCs w:val="19"/>
              </w:rPr>
            </w:pPr>
            <w:r>
              <w:rPr>
                <w:rtl w:val="0"/>
              </w:rPr>
            </w:r>
            <w:r>
              <w:rPr>
                <w:b/>
                <w:bCs/>
                <w:sz w:val="19"/>
                <w:szCs w:val="19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5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6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Email: </w:t>
            </w:r>
            <w:r>
              <w:rPr>
                <w:rtl w:val="0"/>
              </w:rPr>
              <w:t xml:space="preserve">petr.samokhin.work@gmail.com</w:t>
            </w:r>
            <w:r/>
          </w:p>
          <w:p w14:paraId="000001D7">
            <w:pPr>
              <w:pBdr/>
              <w:spacing w:after="0" w:line="259" w:lineRule="auto"/>
              <w:ind/>
              <w:rPr>
                <w:sz w:val="19"/>
                <w:szCs w:val="19"/>
              </w:rPr>
            </w:pPr>
            <w:r>
              <w:rPr>
                <w:sz w:val="19"/>
                <w:szCs w:val="19"/>
                <w:rtl w:val="0"/>
              </w:rPr>
              <w:t xml:space="preserve">Github: qa-101587</w:t>
            </w:r>
            <w:r>
              <w:rPr>
                <w:rtl w:val="0"/>
              </w:rPr>
            </w:r>
            <w:r>
              <w:rPr>
                <w:sz w:val="19"/>
                <w:szCs w:val="19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8">
            <w:pPr>
              <w:pBdr/>
              <w:spacing w:after="0" w:line="259" w:lineRule="auto"/>
              <w:ind/>
              <w:rPr>
                <w:b/>
                <w:bCs/>
                <w:sz w:val="19"/>
                <w:szCs w:val="19"/>
              </w:rPr>
            </w:pPr>
            <w:r>
              <w:rPr>
                <w:rtl w:val="0"/>
              </w:rPr>
            </w:r>
            <w:r>
              <w:rPr>
                <w:b/>
                <w:bCs/>
                <w:sz w:val="19"/>
                <w:szCs w:val="19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9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A">
            <w:pPr>
              <w:pBdr/>
              <w:spacing w:after="0" w:line="259" w:lineRule="auto"/>
              <w:ind/>
              <w:rPr>
                <w:sz w:val="19"/>
                <w:szCs w:val="19"/>
              </w:rPr>
            </w:pPr>
            <w:r>
              <w:rPr>
                <w:sz w:val="19"/>
                <w:szCs w:val="19"/>
                <w:rtl w:val="0"/>
              </w:rPr>
              <w:t xml:space="preserve">Email: </w:t>
            </w:r>
            <w:hyperlink r:id="rId10" w:tooltip="mailto:nik54a@mail.ru" w:history="1">
              <w:r>
                <w:rPr>
                  <w:color w:val="0000ff"/>
                  <w:sz w:val="19"/>
                  <w:szCs w:val="19"/>
                  <w:u w:val="single"/>
                  <w:rtl w:val="0"/>
                </w:rPr>
                <w:t xml:space="preserve">nik54a@mail.ru</w:t>
              </w:r>
            </w:hyperlink>
            <w:r>
              <w:rPr>
                <w:rtl w:val="0"/>
              </w:rPr>
            </w:r>
            <w:r>
              <w:rPr>
                <w:sz w:val="19"/>
                <w:szCs w:val="19"/>
              </w:rPr>
            </w:r>
          </w:p>
          <w:p w14:paraId="000001DB">
            <w:pPr>
              <w:pBdr/>
              <w:spacing w:after="0" w:line="259" w:lineRule="auto"/>
              <w:ind/>
              <w:rPr>
                <w:sz w:val="19"/>
                <w:szCs w:val="19"/>
              </w:rPr>
            </w:pPr>
            <w:r>
              <w:rPr>
                <w:sz w:val="19"/>
                <w:szCs w:val="19"/>
                <w:rtl w:val="0"/>
              </w:rPr>
              <w:t xml:space="preserve">Github: NikitaSnegirev</w:t>
            </w:r>
            <w:r>
              <w:rPr>
                <w:sz w:val="19"/>
                <w:szCs w:val="19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C">
            <w:pPr>
              <w:pBdr/>
              <w:spacing w:after="0" w:line="259" w:lineRule="auto"/>
              <w:ind/>
              <w:rPr>
                <w:b/>
                <w:bCs/>
                <w:sz w:val="19"/>
                <w:szCs w:val="19"/>
              </w:rPr>
            </w:pPr>
            <w:r>
              <w:rPr>
                <w:rtl w:val="0"/>
              </w:rPr>
            </w:r>
            <w:r>
              <w:rPr>
                <w:b/>
                <w:bCs/>
                <w:sz w:val="19"/>
                <w:szCs w:val="19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D">
            <w:pPr>
              <w:pBdr/>
              <w:spacing w:after="0" w:line="259" w:lineRule="auto"/>
              <w:ind/>
              <w:rPr/>
            </w:pPr>
            <w:r>
              <w:rPr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DE">
            <w:pPr>
              <w:pBdr/>
              <w:spacing w:after="0" w:line="259" w:lineRule="auto"/>
              <w:ind/>
              <w:rPr>
                <w:sz w:val="19"/>
                <w:szCs w:val="19"/>
              </w:rPr>
            </w:pPr>
            <w:r>
              <w:rPr>
                <w:sz w:val="19"/>
                <w:szCs w:val="19"/>
                <w:rtl w:val="0"/>
              </w:rPr>
              <w:t xml:space="preserve">Email:</w:t>
            </w:r>
            <w:hyperlink r:id="rId11" w:tooltip="mailto:ekaterina-konchina@yandex.ru" w:history="1">
              <w:r>
                <w:rPr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>
              <w:rPr>
                <w:rtl w:val="0"/>
              </w:rPr>
            </w:r>
            <w:r>
              <w:rPr>
                <w:sz w:val="19"/>
                <w:szCs w:val="19"/>
              </w:rPr>
            </w:r>
          </w:p>
          <w:p w14:paraId="000001DF">
            <w:pPr>
              <w:pBdr/>
              <w:spacing w:after="0" w:line="259" w:lineRule="auto"/>
              <w:ind/>
              <w:rPr>
                <w:sz w:val="19"/>
                <w:szCs w:val="19"/>
              </w:rPr>
            </w:pPr>
            <w:r>
              <w:rPr>
                <w:sz w:val="19"/>
                <w:szCs w:val="19"/>
                <w:rtl w:val="0"/>
              </w:rPr>
              <w:t xml:space="preserve">Github: ekonchina</w:t>
            </w:r>
            <w:r>
              <w:rPr>
                <w:sz w:val="19"/>
                <w:szCs w:val="19"/>
              </w:rPr>
            </w:r>
          </w:p>
          <w:p w14:paraId="000001E0">
            <w:pPr>
              <w:pBdr/>
              <w:spacing w:after="0" w:line="259" w:lineRule="auto"/>
              <w:ind/>
              <w:rPr>
                <w:sz w:val="19"/>
                <w:szCs w:val="19"/>
              </w:rPr>
            </w:pPr>
            <w:r>
              <w:rPr>
                <w:rtl w:val="0"/>
              </w:rPr>
            </w:r>
            <w:r>
              <w:rPr>
                <w:sz w:val="19"/>
                <w:szCs w:val="19"/>
              </w:rPr>
            </w:r>
          </w:p>
        </w:tc>
      </w:tr>
    </w:tbl>
    <w:p w14:paraId="000001E1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94"/>
    <w:next w:val="69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4"/>
    <w:next w:val="69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4"/>
    <w:next w:val="69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4"/>
    <w:next w:val="69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4"/>
    <w:next w:val="69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9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94"/>
    <w:next w:val="6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4"/>
    <w:next w:val="694"/>
    <w:uiPriority w:val="39"/>
    <w:unhideWhenUsed/>
    <w:pPr>
      <w:pBdr/>
      <w:spacing w:after="100"/>
      <w:ind/>
    </w:pPr>
  </w:style>
  <w:style w:type="paragraph" w:styleId="190">
    <w:name w:val="toc 2"/>
    <w:basedOn w:val="694"/>
    <w:next w:val="694"/>
    <w:uiPriority w:val="39"/>
    <w:unhideWhenUsed/>
    <w:pPr>
      <w:pBdr/>
      <w:spacing w:after="100"/>
      <w:ind w:left="220"/>
    </w:pPr>
  </w:style>
  <w:style w:type="paragraph" w:styleId="191">
    <w:name w:val="toc 3"/>
    <w:basedOn w:val="694"/>
    <w:next w:val="694"/>
    <w:uiPriority w:val="39"/>
    <w:unhideWhenUsed/>
    <w:pPr>
      <w:pBdr/>
      <w:spacing w:after="100"/>
      <w:ind w:left="440"/>
    </w:pPr>
  </w:style>
  <w:style w:type="paragraph" w:styleId="192">
    <w:name w:val="toc 4"/>
    <w:basedOn w:val="694"/>
    <w:next w:val="694"/>
    <w:uiPriority w:val="39"/>
    <w:unhideWhenUsed/>
    <w:pPr>
      <w:pBdr/>
      <w:spacing w:after="100"/>
      <w:ind w:left="660"/>
    </w:pPr>
  </w:style>
  <w:style w:type="paragraph" w:styleId="193">
    <w:name w:val="toc 5"/>
    <w:basedOn w:val="694"/>
    <w:next w:val="694"/>
    <w:uiPriority w:val="39"/>
    <w:unhideWhenUsed/>
    <w:pPr>
      <w:pBdr/>
      <w:spacing w:after="100"/>
      <w:ind w:left="880"/>
    </w:pPr>
  </w:style>
  <w:style w:type="paragraph" w:styleId="194">
    <w:name w:val="toc 6"/>
    <w:basedOn w:val="694"/>
    <w:next w:val="694"/>
    <w:uiPriority w:val="39"/>
    <w:unhideWhenUsed/>
    <w:pPr>
      <w:pBdr/>
      <w:spacing w:after="100"/>
      <w:ind w:left="1100"/>
    </w:pPr>
  </w:style>
  <w:style w:type="paragraph" w:styleId="195">
    <w:name w:val="toc 7"/>
    <w:basedOn w:val="694"/>
    <w:next w:val="694"/>
    <w:uiPriority w:val="39"/>
    <w:unhideWhenUsed/>
    <w:pPr>
      <w:pBdr/>
      <w:spacing w:after="100"/>
      <w:ind w:left="1320"/>
    </w:pPr>
  </w:style>
  <w:style w:type="paragraph" w:styleId="196">
    <w:name w:val="toc 8"/>
    <w:basedOn w:val="694"/>
    <w:next w:val="694"/>
    <w:uiPriority w:val="39"/>
    <w:unhideWhenUsed/>
    <w:pPr>
      <w:pBdr/>
      <w:spacing w:after="100"/>
      <w:ind w:left="1540"/>
    </w:pPr>
  </w:style>
  <w:style w:type="paragraph" w:styleId="197">
    <w:name w:val="toc 9"/>
    <w:basedOn w:val="694"/>
    <w:next w:val="69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4"/>
    <w:next w:val="694"/>
    <w:uiPriority w:val="99"/>
    <w:unhideWhenUsed/>
    <w:pPr>
      <w:pBdr/>
      <w:spacing w:after="0" w:afterAutospacing="0"/>
      <w:ind/>
    </w:pPr>
  </w:style>
  <w:style w:type="table" w:styleId="693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4" w:default="1">
    <w:name w:val="Normal"/>
    <w:pPr>
      <w:pBdr/>
      <w:spacing/>
      <w:ind/>
    </w:pPr>
  </w:style>
  <w:style w:type="paragraph" w:styleId="695">
    <w:name w:val="Heading 1"/>
    <w:basedOn w:val="694"/>
    <w:next w:val="694"/>
    <w:pPr>
      <w:keepNext w:val="true"/>
      <w:keepLines w:val="true"/>
      <w:pBdr/>
      <w:spacing w:after="160" w:before="320"/>
      <w:ind/>
    </w:pPr>
    <w:rPr>
      <w:b/>
      <w:bCs/>
      <w:color w:val="2e74b5"/>
      <w:sz w:val="32"/>
      <w:szCs w:val="32"/>
    </w:rPr>
  </w:style>
  <w:style w:type="paragraph" w:styleId="696">
    <w:name w:val="Heading 2"/>
    <w:basedOn w:val="694"/>
    <w:next w:val="694"/>
    <w:pPr>
      <w:keepNext w:val="true"/>
      <w:keepLines w:val="true"/>
      <w:pBdr/>
      <w:spacing w:before="240"/>
      <w:ind/>
    </w:pPr>
    <w:rPr>
      <w:b/>
      <w:bCs/>
      <w:color w:val="2e74b5"/>
      <w:sz w:val="26"/>
      <w:szCs w:val="26"/>
    </w:rPr>
  </w:style>
  <w:style w:type="paragraph" w:styleId="697">
    <w:name w:val="Heading 3"/>
    <w:basedOn w:val="694"/>
    <w:next w:val="694"/>
    <w:pPr>
      <w:keepNext w:val="true"/>
      <w:keepLines w:val="true"/>
      <w:pBdr/>
      <w:spacing w:after="80" w:before="160"/>
      <w:ind/>
    </w:pPr>
    <w:rPr>
      <w:b/>
      <w:bCs/>
      <w:color w:val="1f4d78"/>
      <w:sz w:val="24"/>
      <w:szCs w:val="24"/>
    </w:rPr>
  </w:style>
  <w:style w:type="paragraph" w:styleId="698">
    <w:name w:val="Heading 4"/>
    <w:basedOn w:val="694"/>
    <w:next w:val="694"/>
    <w:pPr>
      <w:keepNext w:val="true"/>
      <w:keepLines w:val="true"/>
      <w:pBdr/>
      <w:spacing w:after="0" w:before="200"/>
      <w:ind/>
    </w:pPr>
    <w:rPr>
      <w:b/>
      <w:bCs/>
      <w:i/>
      <w:iCs/>
      <w:color w:val="4f81bd"/>
    </w:rPr>
  </w:style>
  <w:style w:type="paragraph" w:styleId="699">
    <w:name w:val="Heading 5"/>
    <w:basedOn w:val="694"/>
    <w:next w:val="694"/>
    <w:pPr>
      <w:keepNext w:val="true"/>
      <w:keepLines w:val="true"/>
      <w:pBdr/>
      <w:spacing w:after="0" w:before="200"/>
      <w:ind/>
    </w:pPr>
    <w:rPr>
      <w:color w:val="243f61"/>
    </w:rPr>
  </w:style>
  <w:style w:type="paragraph" w:styleId="700">
    <w:name w:val="Heading 6"/>
    <w:basedOn w:val="694"/>
    <w:next w:val="694"/>
    <w:pPr>
      <w:keepNext w:val="true"/>
      <w:keepLines w:val="true"/>
      <w:pBdr/>
      <w:spacing w:after="0" w:before="200"/>
      <w:ind/>
    </w:pPr>
    <w:rPr>
      <w:i/>
      <w:iCs/>
      <w:color w:val="243f61"/>
    </w:rPr>
  </w:style>
  <w:style w:type="paragraph" w:styleId="701">
    <w:name w:val="Title"/>
    <w:basedOn w:val="694"/>
    <w:next w:val="694"/>
    <w:pPr>
      <w:pBdr>
        <w:bottom w:val="single" w:color="4f81bd" w:sz="8" w:space="4"/>
      </w:pBdr>
      <w:spacing w:line="240" w:lineRule="auto"/>
      <w:ind/>
    </w:pPr>
    <w:rPr>
      <w:b/>
      <w:bCs/>
      <w:color w:val="0b2545"/>
      <w:sz w:val="44"/>
      <w:szCs w:val="44"/>
    </w:rPr>
  </w:style>
  <w:style w:type="paragraph" w:styleId="702">
    <w:name w:val="Subtitle"/>
    <w:basedOn w:val="694"/>
    <w:next w:val="694"/>
    <w:pPr>
      <w:pBdr/>
      <w:spacing w:after="240"/>
      <w:ind/>
    </w:pPr>
    <w:rPr>
      <w:i/>
      <w:iCs/>
      <w:color w:val="5a5a5a"/>
      <w:sz w:val="26"/>
      <w:szCs w:val="26"/>
    </w:rPr>
  </w:style>
  <w:style w:type="table" w:styleId="703">
    <w:name w:val="StGen0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StGen1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StGen2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StGen3"/>
    <w:basedOn w:val="693"/>
    <w:pPr>
      <w:pBdr/>
      <w:spacing/>
      <w:ind/>
    </w:pPr>
    <w:tblPr>
      <w:tblStyleRowBandSize w:val="1"/>
      <w:tblStyleColBandSize w:val="1"/>
      <w:tblCellMar>
        <w:left w:w="15" w:type="dxa"/>
        <w:top w:w="15" w:type="dxa"/>
        <w:right w:w="15" w:type="dxa"/>
        <w:bottom w:w="15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StGen4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StGen5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StGen6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StGen7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StGen8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StGen9"/>
    <w:basedOn w:val="693"/>
    <w:pPr>
      <w:pBdr/>
      <w:spacing/>
      <w:ind/>
    </w:pPr>
    <w:tblPr>
      <w:tblStyleRowBandSize w:val="1"/>
      <w:tblStyleColBandSize w:val="1"/>
      <w:tblCellMar>
        <w:left w:w="15" w:type="dxa"/>
        <w:top w:w="15" w:type="dxa"/>
        <w:right w:w="15" w:type="dxa"/>
        <w:bottom w:w="15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StGen10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StGen11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StGen12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StGen13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StGen14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StGen15"/>
    <w:basedOn w:val="693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hyperlink" Target="mailto:nik54a@mail.ru" TargetMode="External"/><Relationship Id="rId11" Type="http://schemas.openxmlformats.org/officeDocument/2006/relationships/hyperlink" Target="mailto:ekaterina-konchina@yandex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