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00"/>
        <w:pageBreakBefore w:val="false"/>
        <w:pBdr/>
        <w:spacing/>
        <w:ind/>
        <w:jc w:val="left"/>
        <w:rPr/>
      </w:pPr>
      <w:r>
        <w:rPr>
          <w:rFonts w:ascii="Calibri" w:hAnsi="Calibri" w:eastAsia="Calibri" w:cs="Calibri"/>
          <w:b/>
          <w:bCs/>
          <w:color w:val="0b2545"/>
          <w:sz w:val="44"/>
          <w:szCs w:val="44"/>
          <w:rtl w:val="0"/>
        </w:rPr>
        <w:t xml:space="preserve">Тест План</w:t>
      </w:r>
      <w:r>
        <w:rPr>
          <w:rtl w:val="0"/>
        </w:rPr>
      </w:r>
      <w:r/>
    </w:p>
    <w:p w14:paraId="00000002">
      <w:pPr>
        <w:pStyle w:val="901"/>
        <w:pageBreakBefore w:val="false"/>
        <w:pBdr/>
        <w:spacing/>
        <w:ind/>
        <w:rPr/>
      </w:pPr>
      <w:r>
        <w:rPr>
          <w:rFonts w:ascii="Calibri" w:hAnsi="Calibri" w:eastAsia="Calibri" w:cs="Calibri"/>
          <w:i/>
          <w:iCs/>
          <w:color w:val="5a5a5a"/>
          <w:sz w:val="26"/>
          <w:szCs w:val="26"/>
          <w:rtl w:val="0"/>
        </w:rPr>
        <w:t xml:space="preserve">по автоматизации тестирования TeamCity</w:t>
      </w:r>
      <w:r>
        <w:rPr>
          <w:rtl w:val="0"/>
        </w:rPr>
      </w:r>
      <w:r/>
    </w:p>
    <w:p w14:paraId="0000000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color w:val="505050"/>
          <w:sz w:val="22"/>
          <w:szCs w:val="22"/>
          <w:rtl w:val="0"/>
        </w:rPr>
        <w:t xml:space="preserve">Версия плана: 1.1</w:t>
        <w:br/>
        <w:t xml:space="preserve">Дата: 30.06.2026</w:t>
        <w:br/>
      </w:r>
      <w:r>
        <w:rPr>
          <w:rtl w:val="0"/>
        </w:rPr>
      </w:r>
      <w:r/>
    </w:p>
    <w:p w14:paraId="00000004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Содержание</w:t>
      </w:r>
      <w:r>
        <w:rPr>
          <w:rtl w:val="0"/>
        </w:rPr>
      </w:r>
      <w:r/>
    </w:p>
    <w:p w14:paraId="0000000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1" w:anchor="toc_sec_01" w:history="1">
        <w:r>
          <w:rPr>
            <w:color w:val="0563c1"/>
            <w:u w:val="single"/>
          </w:rPr>
          <w:t xml:space="preserve">Исходные условия проекта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6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2" w:anchor="toc_sec_02" w:history="1">
        <w:r>
          <w:rPr>
            <w:color w:val="0563c1"/>
            <w:u w:val="single"/>
          </w:rPr>
          <w:t xml:space="preserve">Цель плана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3" w:anchor="toc_sec_03" w:history="1">
        <w:r>
          <w:rPr>
            <w:color w:val="0563c1"/>
            <w:u w:val="single"/>
          </w:rPr>
          <w:t xml:space="preserve">Метрики продукта и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4" w:anchor="toc_sec_04" w:history="1">
        <w:r>
          <w:rPr>
            <w:color w:val="0563c1"/>
            <w:u w:val="single"/>
          </w:rPr>
          <w:t xml:space="preserve">Аспекты качества продукта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5" w:anchor="toc_sec_05" w:history="1">
        <w:r>
          <w:rPr>
            <w:color w:val="0563c1"/>
            <w:u w:val="single"/>
          </w:rPr>
          <w:t xml:space="preserve">Виды и уровни тестирования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A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06" w:history="1">
        <w:r>
          <w:rPr>
            <w:color w:val="0563c1"/>
            <w:u w:val="single"/>
          </w:rPr>
          <w:t xml:space="preserve">Стек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framework_architecture" w:history="1">
        <w:r>
          <w:rPr>
            <w:color w:val="0563c1"/>
            <w:u w:val="single"/>
          </w:rPr>
          <w:t xml:space="preserve">Архитектура фреймворка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B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7" w:anchor="toc_sec_07" w:history="1">
        <w:r>
          <w:rPr>
            <w:color w:val="0563c1"/>
            <w:u w:val="single"/>
          </w:rPr>
          <w:t xml:space="preserve">Тестовое окружение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C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8" w:anchor="toc_sec_08" w:history="1">
        <w:r>
          <w:rPr>
            <w:color w:val="0563c1"/>
            <w:u w:val="single"/>
          </w:rPr>
          <w:t xml:space="preserve">Критичный MVP-сценарий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D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9" w:anchor="toc_sec_09" w:history="1">
        <w:r>
          <w:rPr>
            <w:color w:val="0563c1"/>
            <w:u w:val="single"/>
          </w:rPr>
          <w:t xml:space="preserve">UI Automation Scope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0" w:anchor="toc_sec_10" w:history="1">
        <w:r>
          <w:rPr>
            <w:color w:val="0563c1"/>
            <w:u w:val="single"/>
          </w:rPr>
          <w:t xml:space="preserve">Стратегия тестовых данных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1" w:anchor="toc_sec_11" w:history="1">
        <w:r>
          <w:rPr>
            <w:color w:val="0563c1"/>
            <w:u w:val="single"/>
          </w:rPr>
          <w:t xml:space="preserve">Тестовые сценарии и скоуп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2" w:anchor="toc_sec_12" w:history="1">
        <w:r>
          <w:rPr>
            <w:color w:val="0563c1"/>
            <w:u w:val="single"/>
          </w:rPr>
          <w:t xml:space="preserve">Поэтапный план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3" w:anchor="toc_sec_13" w:history="1">
        <w:r>
          <w:rPr>
            <w:color w:val="0563c1"/>
            <w:u w:val="single"/>
          </w:rPr>
          <w:t xml:space="preserve">Необходимые ресурсы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2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4" w:anchor="toc_sec_14" w:history="1">
        <w:r>
          <w:rPr>
            <w:color w:val="0563c1"/>
            <w:u w:val="single"/>
          </w:rPr>
          <w:t xml:space="preserve">Распределение работ в команде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3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5" w:anchor="toc_sec_15" w:history="1">
        <w:r>
          <w:rPr>
            <w:color w:val="0563c1"/>
            <w:u w:val="single"/>
          </w:rPr>
          <w:t xml:space="preserve">Риски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4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6" w:anchor="toc_sec_16" w:history="1">
        <w:r>
          <w:rPr>
            <w:color w:val="0563c1"/>
            <w:u w:val="single"/>
          </w:rPr>
          <w:t xml:space="preserve">Отслеживание процесса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7" w:anchor="toc_sec_17" w:history="1">
        <w:r>
          <w:rPr>
            <w:color w:val="0563c1"/>
            <w:u w:val="single"/>
          </w:rPr>
          <w:t xml:space="preserve">Структура команды тестирования (нет информации о ФИО и контактах)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1" w:name="toc_sec_0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Исходные условия проекта</w:t>
      </w:r>
      <w:r>
        <w:rPr>
          <w:rtl w:val="0"/>
        </w:rPr>
      </w:r>
      <w:bookmarkEnd w:id="1001"/>
      <w:r/>
      <w:r/>
    </w:p>
    <w:tbl>
      <w:tblPr>
        <w:tblStyle w:val="90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Параметр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Решение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3 QA Automation Engineers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Состояние тестов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Продукт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Целевая версия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Локальная база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CI-подход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 на internal HSQLDB, production-like CI на PostgreSQL, compatibility smoke на остальных поддерживаемых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Test Management System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информации: конкретная TMS не выбрана.</w:t>
            </w:r>
            <w:r>
              <w:rPr>
                <w:rtl w:val="0"/>
              </w:rPr>
            </w:r>
            <w:r/>
          </w:p>
        </w:tc>
      </w:tr>
    </w:tbl>
    <w:p w14:paraId="0000002F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1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2" w:name="toc_sec_0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Цель плана</w:t>
      </w:r>
      <w:r>
        <w:rPr>
          <w:rtl w:val="0"/>
        </w:rPr>
      </w:r>
      <w:bookmarkEnd w:id="1002"/>
      <w:r/>
      <w:r/>
    </w:p>
    <w:p w14:paraId="00000017">
      <w:pPr>
        <w:pageBreakBefore w:val="false"/>
        <w:pBdr/>
        <w:spacing w:after="120" w:line="259" w:lineRule="auto"/>
        <w:ind/>
        <w:rPr/>
      </w:pPr>
      <w:r>
        <w:rPr>
          <w:rFonts w:ascii="Calibri" w:hAnsi="Calibri"/>
        </w:rPr>
        <w:t xml:space="preserve">Цель тест-плана — определить стратегию автоматизации TeamCity с нуля для команды из трех QA Automation Engineers. На старт</w:t>
      </w:r>
      <w:r>
        <w:rPr>
          <w:rFonts w:ascii="Calibri" w:hAnsi="Calibri"/>
        </w:rPr>
        <w:t xml:space="preserve">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  <w:r/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Сконцентрироваться на наиболее критичной функциональности продукта.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/>
          <w:sz w:val="22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Подготовить pipeline, который поднимает стенд и запускает автотесты воспроизводимо.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3" w:name="toc_sec_03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Бизнес 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м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етрики продукта</w:t>
      </w:r>
      <w:r/>
    </w:p>
    <w:p w14:paraId="00000031">
      <w:pPr>
        <w:pageBreakBefore w:val="false"/>
        <w:pBdr/>
        <w:spacing w:after="120" w:line="259" w:lineRule="auto"/>
        <w:ind/>
        <w:rPr/>
      </w:pPr>
      <w: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  <w:r/>
    </w:p>
    <w:tbl>
      <w:tblPr>
        <w:tblStyle w:val="90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  <w:tblGridChange w:id="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Цель тест-плана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Метрика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Целевое значение / критерий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Оценить влияние автоматизации на delivery.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Time To Market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Ускорить на 20% время доставки новой функциональности в продакшн версию продукта за счет более быстрого P0/P1 feedback loop </w:t>
            </w:r>
            <w:r>
              <w:rPr>
                <w:sz w:val="21"/>
                <w:lang w:val="ru-RU"/>
              </w:rPr>
              <w:t xml:space="preserve">и сокращения </w:t>
            </w:r>
            <w:r>
              <w:rPr>
                <w:sz w:val="21"/>
              </w:rPr>
              <w:t xml:space="preserve">ручной регрессии.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  <w:lang w:val="undefined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:lang w:val="undefined" w:bidi="undefined"/>
              </w:rPr>
            </w:r>
            <w:r>
              <w:rPr>
                <w:sz w:val="21"/>
                <w:szCs w:val="21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  <w:lang w:val="undefined" w:bidi="undefined"/>
              </w:rPr>
            </w:r>
            <w:r>
              <w:rPr>
                <w:sz w:val="21"/>
                <w:szCs w:val="21"/>
                <w:lang w:val="undefined"/>
              </w:rPr>
              <w:t xml:space="preserve">Mean Time to Detect</w:t>
            </w:r>
            <w:r>
              <w:rPr>
                <w:sz w:val="21"/>
                <w:szCs w:val="21"/>
                <w:lang w:val="undefined" w:bidi="undefined"/>
              </w:rPr>
            </w:r>
            <w:r>
              <w:rPr>
                <w:sz w:val="21"/>
                <w:szCs w:val="21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  <w:lang w:val="undefined" w:bidi="undefined"/>
              </w:rPr>
            </w:r>
            <w:r>
              <w:rPr>
                <w:sz w:val="21"/>
                <w:szCs w:val="21"/>
                <w:lang w:val="undefined"/>
              </w:rPr>
              <w:t xml:space="preserve">Уменьшить среднее время обнаружения ошибок до 2 часов для регрессионного тестирования. </w:t>
            </w:r>
            <w:r>
              <w:rPr>
                <w:sz w:val="21"/>
                <w:szCs w:val="21"/>
                <w:lang w:val="undefined" w:bidi="undefined"/>
              </w:rPr>
            </w:r>
            <w:r>
              <w:rPr>
                <w:sz w:val="21"/>
                <w:szCs w:val="21"/>
                <w:lang w:val="undefined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7440A9A7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  <w:lang w:val="undefined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:lang w:val="undefined" w:bidi="undefined"/>
              </w:rPr>
            </w:r>
            <w:r>
              <w:rPr>
                <w:sz w:val="21"/>
                <w:szCs w:val="21"/>
                <w:lang w:val="undefined"/>
              </w:rPr>
            </w:r>
          </w:p>
          <w:p w14:paraId="2CB3FF4E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  <w:lang w:bidi="undefined"/>
              </w:rPr>
            </w:r>
            <w:r>
              <w:rPr>
                <w:sz w:val="21"/>
                <w:szCs w:val="21"/>
                <w:lang w:val="undefined" w:bidi="undefined"/>
              </w:rPr>
            </w:r>
            <w:r>
              <w:rPr>
                <w:sz w:val="21"/>
                <w:szCs w:val="21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50CB2FA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  <w:lang w:val="undefined"/>
              </w:rPr>
              <w:t xml:space="preserve">Bug Fix Time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1669843F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  <w:lang w:val="undefined"/>
              </w:rPr>
              <w:t xml:space="preserve">Сократить время исправления критических багов до 24 часов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8185AA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Сконцентрироваться на наиболее критичной функциональности продукта.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4B9259BF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P0/P1 coverage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7CF8E5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</w:tr>
    </w:tbl>
    <w:p w14:paraId="00000053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54">
      <w:pPr>
        <w:pStyle w:val="894"/>
        <w:keepNext w:val="true"/>
        <w:pageBreakBefore w:val="false"/>
        <w:pBdr/>
        <w:spacing w:after="120" w:before="240"/>
        <w:ind/>
        <w:rPr>
          <w:highlight w:val="yellow"/>
        </w:rPr>
      </w:pPr>
      <w:r>
        <w:rPr>
          <w:highlight w:val="yellow"/>
        </w:rPr>
      </w:r>
      <w:bookmarkStart w:id="1004" w:name="toc_sec_04"/>
      <w:r>
        <w:rPr>
          <w:rFonts w:ascii="Calibri" w:hAnsi="Calibri" w:eastAsia="Calibri" w:cs="Calibri"/>
          <w:b/>
          <w:bCs/>
          <w:color w:val="2e74b5"/>
          <w:sz w:val="32"/>
          <w:szCs w:val="32"/>
          <w:highlight w:val="yellow"/>
          <w:rtl w:val="0"/>
        </w:rPr>
        <w:t xml:space="preserve">Аспекты качества продукта</w:t>
      </w:r>
      <w:r>
        <w:rPr>
          <w:highlight w:val="yellow"/>
          <w:rtl w:val="0"/>
        </w:rPr>
      </w:r>
      <w:bookmarkEnd w:id="1004"/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highlight w:val="yellow"/>
        </w:rPr>
      </w:r>
      <w:r>
        <w:rPr>
          <w:highlight w:val="yellow"/>
        </w:rPr>
      </w:r>
    </w:p>
    <w:tbl>
      <w:tblPr>
        <w:tblStyle w:val="90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Аспект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Почему критично для TeamCity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Риск без покрытия</w:t>
            </w:r>
            <w:r>
              <w:rPr>
                <w:rtl w:val="0"/>
              </w:rPr>
            </w:r>
            <w:r/>
          </w:p>
        </w:tc>
      </w:tr>
    </w:tbl>
    <w:p w14:paraId="0000006D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6E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5" w:name="toc_sec_0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Виды и уровни тестирования</w:t>
      </w:r>
      <w:r>
        <w:rPr>
          <w:rtl w:val="0"/>
        </w:rPr>
      </w:r>
      <w:bookmarkEnd w:id="1005"/>
      <w:r>
        <w:rPr>
          <w:lang w:val="ru-RU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TODO</w:t>
      </w:r>
      <w:r/>
      <w:r>
        <w:rPr>
          <w:lang w:val="ru-RU"/>
        </w:rPr>
      </w:r>
      <w:r/>
    </w:p>
    <w:tbl>
      <w:tblPr>
        <w:tblStyle w:val="905"/>
        <w:tblInd w:w="-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300"/>
        <w:gridCol w:w="2150"/>
        <w:gridCol w:w="3450"/>
        <w:gridCol w:w="2460"/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6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Приоритет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Вид тестирования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Решение для проекта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Кто отвечает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E2E Smoke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Критичный путь от первого запуска до успешного build.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интегратор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API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Project, build configuration, build run, build status, server readiness.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API-сущностям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Только критичные flows: setup wizard, first admin, agent authorization.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UI-flow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P1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Roles / Permissions Testing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Критичные проверки прав: admin имеет полный доступ; ограниченный пользователь не может выполнять admin/build/agent действия вне разрешений.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ролям и правам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Bootstrap / Installability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Headless-подготовка стенда для CI без ручного UI.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bootstrap-owner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Integration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Связка Server + Agent + REST API + build lifecycle.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Smoke с PostgreSQL, MySQL, MariaDB, MS SQL Server, Oracle.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ротации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Regression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Расширение после стабилизации MVP-покрытия.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 после MVP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Security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Минимально: login, token usage, agent authorization; полный security scope не описан.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Engineers; scope уточняется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Unit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6"/>
              </w:rPr>
              <w:t xml:space="preserve">Unit tests продукта существуют, но не входят в scope команды на старте; проект проверяет TeamCity как black-box через UI/API/E2E.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Команда продукта; вне scope проекта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Performance/Load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Не входит в первые 4 недели, кроме базового контроля длительности smoke.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Не назначается на первые 4 недели</w:t>
            </w:r>
            <w:r/>
          </w:p>
        </w:tc>
      </w:tr>
    </w:tbl>
    <w:p w14:paraId="00000090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91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6" w:name="toc_sec_0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Стек автоматизации</w:t>
      </w:r>
      <w:r>
        <w:rPr>
          <w:rtl w:val="0"/>
        </w:rPr>
      </w:r>
      <w:bookmarkEnd w:id="1006"/>
      <w:r/>
      <w:r/>
    </w:p>
    <w:tbl>
      <w:tblPr>
        <w:tblStyle w:val="906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3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Компонент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Выбор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Обоснование 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Язык программирования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Python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4D855F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545A7D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Python хорошо поддерживает pytest, Selenium/Playwright, API-тесты, Allure и работу с внешними сервисами.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197477B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Test runner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33E76381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2B1A4A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Для организации автотестов выбран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, потому что он проще и гибче стандартного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 и лучше подходит для масштабируемого test framework. В отличие от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, pytest дает более удобные фикстуры, параметризацию, маркировку тестов и лаконичный синтаксис. По сравнению с BDD-фреймворками вроде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behave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, pytest меньше усложняет структуру проекта и лучше подходит для технических автотестов.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8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UI automation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9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Playwright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Playwright выбран как более подходящий инструмент для нашего проекта по сравнению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ots и video. Cypress силен для frontend-тестирования в JavaScript/TypeScript-стеке,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 в существующий Python-фреймворк и хорошо подходит для запуска в TeamCity.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B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API automation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C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361500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Для автоматизации API выбран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 как основной HTTP-клиент в Python.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20E5AB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54581B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пользуемые API-клиенты для тестов.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479C84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Альтернативы, например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httpx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, могут быть рассмотрены при необходимости async-запросов или HTTP/2, но для стандартной REST API-автоматизации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 является более простым, стабильным и достаточным решением.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CI/CD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en-US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7846F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Для CI/CD выбран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5DB68E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По сравнению с альтернативами вроде TeamCity, Jenkins или GitLab CI, GitHub Actions в нашем случае требует ме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ньше усилий на внедрение: репозиторий, workflow, secrets, pull requests и результаты запусков находятся в одной экосистеме.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26D6B1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000000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4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Test reports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0C9BB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Д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ля отчетности выбран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3D7098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JUnit/XML хорошо подходит для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глубокого анализа автотестов.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1103A6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Allure позволяет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  <w:t xml:space="preserve"> и менеджерам.</w:t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  <w:p w14:paraId="000000A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undefined" w:bidi="undefined"/>
              </w:rPr>
            </w:r>
            <w:r>
              <w:rPr>
                <w:rFonts w:ascii="Calibri" w:hAnsi="Calibri" w:eastAsia="Calibri" w:cs="Calibri"/>
                <w:sz w:val="18"/>
                <w:szCs w:val="18"/>
                <w:lang w:val="undefined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  <w:lang w:val="en-US"/>
              </w:rPr>
              <w:t xml:space="preserve">TODO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8" w:name="toc_sec_framework_architecture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Архитектура фреймворка автоматизации</w:t>
      </w:r>
      <w:r>
        <w:rPr>
          <w:rtl w:val="0"/>
        </w:rPr>
      </w:r>
      <w:bookmarkEnd w:id="1018"/>
      <w:r/>
      <w:r/>
    </w:p>
    <w:p>
      <w:pPr>
        <w:pBdr/>
        <w:spacing/>
        <w:ind/>
        <w:rPr/>
      </w:pPr>
      <w:r>
        <w:t xml:space="preserve">Фреймворк д</w:t>
      </w:r>
      <w:r>
        <w:t xml:space="preserve">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  <w:r/>
    </w:p>
    <w:p w14:paraId="5D55BD58">
      <w:pPr>
        <w:pBdr/>
        <w:spacing/>
        <w:ind/>
        <w:rPr/>
      </w:pPr>
      <w:r>
        <w:t xml:space="preserve">Главное правило: зависимости идут сверху вниз, а нижние слои не импортируют тесты и бизнес-сценарии.</w:t>
      </w:r>
      <w:r/>
      <w:r/>
    </w:p>
    <w:tbl>
      <w:tblPr>
        <w:tblStyle w:val="906"/>
        <w:jc w:val="center"/>
        <w:tblW w:w="9360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>
        <w:trPr>
          <w:tblHeader/>
        </w:trPr>
        <w:tc>
          <w:tcPr>
            <w:shd w:val="clear" w:color="auto" w:fill="f2f2f2"/>
            <w:tcBorders/>
            <w:tcW w:w="2736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Слой</w:t>
            </w:r>
            <w:r/>
          </w:p>
        </w:tc>
        <w:tc>
          <w:tcPr>
            <w:shd w:val="clear" w:color="auto" w:fill="f2f2f2"/>
            <w:tcBorders/>
            <w:tcW w:w="6624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Что отвечает и где живет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1. Тесты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2. Шаги / business flows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3. API clients и Page Objects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4. Модели и схемы данных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models или schemas. Описывают Project, BuildType, Build, Agent, User, Role, Permission, статусы и контракты ответов.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5. Fixtures, test data и cleanup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6. Инфраструктура, конфигурация и отчеты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config, bootstrap, reporting. Env vars, Docker helpers, readiness checks, logging, Allure/JUnit reports, screenshots/traces для UI.</w:t>
            </w:r>
            <w:r/>
          </w:p>
        </w:tc>
      </w:tr>
    </w:tbl>
    <w:p w14:paraId="441144B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UI и API остаются в одном репозитории, потому что используют общие модели, fixtures, конфигурацию и отчетность.</w:t>
      </w:r>
      <w:r>
        <w:rPr>
          <w:highlight w:val="none"/>
        </w:rPr>
      </w:r>
    </w:p>
    <w:p w14:paraId="61FB08D6">
      <w:pPr>
        <w:pBdr/>
        <w:spacing/>
        <w:ind/>
        <w:rPr>
          <w:highlight w:val="none"/>
        </w:rPr>
      </w:pPr>
      <w: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  <w:r/>
      <w:r/>
    </w:p>
    <w:p w14:paraId="5B2E2E8A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highlight w:val="none"/>
        </w:rPr>
      </w:r>
      <w:r>
        <w:rPr>
          <w:highlight w:val="none"/>
        </w:rPr>
      </w:r>
      <w:bookmarkStart w:id="1007" w:name="toc_sec_07"/>
      <w:r>
        <w:rPr>
          <w:highlight w:val="none"/>
        </w:rPr>
      </w:r>
      <w:r>
        <w:rPr>
          <w:highlight w:val="none"/>
        </w:rPr>
      </w:r>
    </w:p>
    <w:p w14:paraId="000000AB">
      <w:pPr>
        <w:pStyle w:val="894"/>
        <w:keepNext w:val="true"/>
        <w:pageBreakBefore w:val="false"/>
        <w:pBdr/>
        <w:spacing w:after="120" w:before="240"/>
        <w:ind/>
        <w:rPr>
          <w:highlight w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Тестовое окружение</w:t>
      </w:r>
      <w:r>
        <w:rPr>
          <w:rtl w:val="0"/>
        </w:rPr>
      </w:r>
      <w:bookmarkEnd w:id="1007"/>
      <w:r/>
      <w:r/>
    </w:p>
    <w:tbl>
      <w:tblPr>
        <w:tblStyle w:val="907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4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Окружение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Состав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Назначение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Local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Быстрый запуск P0/P1 автотестов на PR.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Production-like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PostgreSQL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DB Compatibility Nightly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Server + full Agent + MySQL/MariaDB/MS SQL/Oracle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Smoke-проверка совместимости с поддерживаемыми database backends.</w:t>
            </w:r>
            <w:r>
              <w:rPr>
                <w:rtl w:val="0"/>
              </w:rPr>
            </w:r>
            <w:r/>
          </w:p>
        </w:tc>
      </w:tr>
    </w:tbl>
    <w:p w14:paraId="000000BC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undefined" w:bidi="undefined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lang w:val="undefined"/>
        </w:rPr>
      </w:r>
    </w:p>
    <w:p w14:paraId="000000BD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undefined"/>
        </w:rPr>
        <w:t xml:space="preserve">Архитектура локального стенда: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undefined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</w:r>
    </w:p>
    <w:p w14:paraId="7D7FDA50">
      <w:pPr>
        <w:pBdr/>
        <w:spacing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</w:r>
      <w:r/>
    </w:p>
    <w:p w14:paraId="000000C2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8" w:name="toc_sec_08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Критичный MVP-сценарий автоматизации</w:t>
      </w:r>
      <w:r>
        <w:rPr>
          <w:rtl w:val="0"/>
        </w:rPr>
      </w:r>
      <w:bookmarkEnd w:id="1008"/>
      <w:r/>
      <w:r/>
    </w:p>
    <w:p w14:paraId="000000C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  <w:r>
        <w:rPr>
          <w:rtl w:val="0"/>
        </w:rPr>
      </w:r>
      <w:r/>
    </w:p>
    <w:tbl>
      <w:tblPr>
        <w:tblStyle w:val="908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5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Шаг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Ожидаемый результат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проверки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TeamCity Server и full Agent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Контейнеры запущены, сервер доступен на 8111.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Docker/Bootstrap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Пройти startup confirmation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TeamCity принимает первый запуск с новым data directory.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Выбрать Internal database / HSQLDB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Локальный стенд проходит database setup.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первого администратора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Admin создан, возможен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Проверить базовые роли и права доступа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выполняет критичные admin-действия; ограниченный пользователь не получает доступ к запрещенным действиям.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UI/API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Авторизовать local-agent-1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переходит из Unauthorized в Connected/Idle.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UI/API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project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Project появляется в TeamCity.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build configuration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configuration создана и готова к запуску.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Запустить простой build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стартует на agent и завершается ожидаемым статусом.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API/E2E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Проверить build result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Статус build доступен через REST API и UI.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API/UI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0E2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E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9" w:name="toc_sec_09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UI Automation Scope</w:t>
      </w:r>
      <w:r>
        <w:rPr>
          <w:rtl w:val="0"/>
        </w:rPr>
      </w:r>
      <w:bookmarkEnd w:id="1009"/>
      <w:r/>
      <w:r/>
    </w:p>
    <w:p w14:paraId="000000E4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UI автоматизация покрывает только пользовательские flows, которые невозможно надежно заменить API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на первом этапе: startup confirmation, database setup, создание первого администратора, login и authorization первого agent. Детальная подготовка данных, создание project/build configuration, запуск build и проверка статусов выполняются на уровне REST API.</w:t>
      </w:r>
      <w:r>
        <w:rPr>
          <w:rtl w:val="0"/>
        </w:rPr>
      </w:r>
      <w:r/>
    </w:p>
    <w:p w14:paraId="000000E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0" w:name="toc_sec_10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Стратегия тестовых данных</w:t>
      </w:r>
      <w:r>
        <w:rPr>
          <w:rtl w:val="0"/>
        </w:rPr>
      </w:r>
      <w:bookmarkEnd w:id="1010"/>
      <w:r/>
      <w:r/>
    </w:p>
    <w:p w14:paraId="000000E6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  <w:r>
        <w:rPr>
          <w:rtl w:val="0"/>
        </w:rPr>
      </w:r>
      <w:r/>
    </w:p>
    <w:p w14:paraId="000000E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каждого теста создавать уникальные project/build configuration names с префиксом автотестов.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Основная подготовка данных выполняется через REST API, UI используется только там, где проверяется сам пользовательский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Cleanup выполнять через REST API либо полным reset окружения в Docker.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Не хранить реальные секреты, пароли и access tokens в репозитории.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CI использовать временные credentials из переменных окружения.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09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6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теста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Источник данных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Smoke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Setup wizard + минимальные данные, созданные в самом UI flow.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API-generated projects, build configurations, builds, tokens.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E2E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Комбинация UI bootstrap + API setup + Docker reset/cleanup.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 о финальном наборе seed data для внешних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user + ограниченные test users; финальная матрица ролей уточняется TODO.</w:t>
            </w:r>
            <w:r/>
          </w:p>
        </w:tc>
      </w:tr>
    </w:tbl>
    <w:p w14:paraId="000000F7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F8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1" w:name="toc_sec_1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Тестовые сценарии и скоуп</w:t>
      </w:r>
      <w:r>
        <w:rPr>
          <w:rtl w:val="0"/>
        </w:rPr>
      </w:r>
      <w:bookmarkEnd w:id="1011"/>
      <w:r/>
      <w:r/>
    </w:p>
    <w:tbl>
      <w:tblPr>
        <w:tblStyle w:val="910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7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Группа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In Scope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Out of Scope на первые 4 недели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Initial Setup / First Admin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Startup confirmation, выбор HSQLDB, создание admin,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нестандартные enterprise auth flows.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full access, ограниченный пользователь, negative checks для project, build configuration, build run и agent authorization.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Полная матрица всех ролей, групп и enterprise auth flows.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Management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Unauthorized agent, authorization, connected/idle state.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Сложные agent pools, cloud agents, масштабирование agents.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Core REST API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Server info, projects, build configurations, builds, statuses.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Полное покрытие всех REST endpoints.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Execution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Простой build, success/failure status, logs.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runners и plugin-specific behavior.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HSQLDB fast path, PostgreSQL production-like smoke.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regression на каждой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 Pipeline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стенд, bootstrap, запустить suites, собрать отчет.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Полная release инфраструктура и production deployment.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Security / Authorization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login, token usage, agent authorization; RBAC вынесен в отдельную группу.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pentest/security audit.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Ссылка на тест-кейсы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 или файл с ручными тест-кейсами пока не указан.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14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1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2" w:name="toc_sec_1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Поэтапный план</w:t>
      </w:r>
      <w:r>
        <w:rPr>
          <w:rtl w:val="0"/>
        </w:rPr>
      </w:r>
      <w:bookmarkEnd w:id="1012"/>
      <w:r/>
      <w:r/>
    </w:p>
    <w:tbl>
      <w:tblPr>
        <w:tblStyle w:val="911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8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Неделя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Фокус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Результат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Ручные сценарии, тест-дизайн, тестируемость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Описаны P0/P1 сценарии: setup, first admin, roles/permissions, agent, project, build configuration, build run, REST checks. Зафиксированы риски и TODO.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2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автотесты + базовый framework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Автоматизирован критичный UI flow: startup confirmation, database selection, first admin, login, agent authorization, базовые role-based UI checks.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3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автотесты + build lifecycle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Автоматизированы REST API сценарии: server readiness, project, build configuration, run build, build status, permission negative checks, cleanup.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4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Pipeline, bootstrap, отчеты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Собран CI flow: поднятие стенда, bootstrap, запуск UI/API suites, отчетность и стабилизация.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25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2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3" w:name="toc_sec_13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Необходимые ресурсы</w:t>
      </w:r>
      <w:r>
        <w:rPr>
          <w:rtl w:val="0"/>
        </w:rPr>
      </w:r>
      <w:bookmarkEnd w:id="1013"/>
      <w:r/>
      <w:r/>
    </w:p>
    <w:tbl>
      <w:tblPr>
        <w:tblStyle w:val="91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9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Задача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Ответственный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Ожидание / статус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Настройка CI/CD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 / DevOps: нет информации по конкретному владельцу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Готов pipeline для bootstrap, запуска suites, публикации результатов и артефактов.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Документирование тест-кейсов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P0/P1 сценарии расписаны до автоматизации; TMS не выбрана.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Создание framework автоматизации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Единая структура Pytest/Playwright, фикстуры, cleanup, логирование, отчетность.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Доступы и credentials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Нужны временные credentials/token для admin и ограниченных test users через переменные окружения CI.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Настройка отчетности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Инструмент отчетности не выбран; минимум нужны pass/fail, duration, logs, UI screenshots.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Code Coverage / Quality Gate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Unit tests существуют на стороне продукта, но исходный код и их coverage вне зоны проекта; для нашего black-box scope quality gate оценивается по P0/P1 UI/API/E2E pass rate.</w:t>
            </w:r>
            <w:r/>
          </w:p>
        </w:tc>
      </w:tr>
    </w:tbl>
    <w:p w14:paraId="0000013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3D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4" w:name="toc_sec_14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Распределение работ в команде</w:t>
      </w:r>
      <w:r>
        <w:rPr>
          <w:rtl w:val="0"/>
        </w:rPr>
      </w:r>
      <w:bookmarkEnd w:id="1014"/>
      <w:r/>
      <w:r/>
    </w:p>
    <w:p w14:paraId="0000013E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Постоянные роли QA Automation 1/2/3 не закрепляются: на каждом этапе задачи дробятся и распределяются между всеми участниками равномерно; роль интегратора и ревьюера ротируется.</w:t>
      </w:r>
      <w:r>
        <w:rPr>
          <w:rtl w:val="0"/>
        </w:rPr>
      </w:r>
      <w:r/>
    </w:p>
    <w:tbl>
      <w:tblPr>
        <w:tblStyle w:val="91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0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Этап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Фокус работ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Равномерное распределение внутри команды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Ручные сценарии и тест-дизайн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Все 3 QA делят P0/P1 сценарии по частям: setup/admin, roles/permissions, agent, API/build lifecycle, bootstrap. Каждый описывает свою часть и участвует в общем review scope.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2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smoke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Playwright-задачи распределяются между участниками по сценариям; общий результат — startup confirmation, HSQLDB setup, first admin, login, agent authorization.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3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REST API + build lifecycle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Pytest/API задачи делятся поровну по сущностям и flow: server readiness, project, build configuration, build run, status, role/permission negative checks, cleanup.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4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 / Bootstrap / Pipeline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Pipeline-задачи распределяются поровну: compose/bootstrap, readiness checks, запуск UI/API suites, отчеты и стабилизация.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4E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F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5" w:name="toc_sec_1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Риски</w:t>
      </w:r>
      <w:r>
        <w:rPr>
          <w:rtl w:val="0"/>
        </w:rPr>
      </w:r>
      <w:bookmarkEnd w:id="1015"/>
      <w:r/>
      <w:r/>
    </w:p>
    <w:tbl>
      <w:tblPr>
        <w:tblStyle w:val="91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Риск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Влияние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Как минимизировать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Startup confirmation блокирует CI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 не сможет поднять TeamCity с нуля.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Сделать bootstrap-скрипт и отдельный suite Initial Setup.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setup wizard нестабилен для автоматизации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UI-тесты будут flaky.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покрывает только P0 flow, остальное переносится в API.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не авторизуется автоматически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не сможет стартовать.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Проверять Unauthorized state и автоматизировать authorization шаг.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Долгий первый download Docker images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 и локальный старт занимают много времени.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Кешировать Docker layers, фиксировать версии образов.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Различия database backends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Ошибки с внешними БД появятся поздно.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Ввести nightly compatibility smoke по поддерживаемым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существующих ручных сценариев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Команда может автоматизировать не тот scope.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1 выделена на тест-дизайн и P0/P1 приоритизацию.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Слишком широкий стартовый scope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Команда не покажет результат за 4 недели.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Сначала автоматизировать один критичный E2E path, затем расширяться.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Ролевые ограничения не проверены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Пользователь с ограниченной ролью может получить лишний доступ к критичным действиям.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Добавить P1 Roles / Permissions suite с positive admin checks и negative checks для ограниченных пользователей.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Недостаточная наблюдаемость падений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Падения автотестов будет сложно анализировать.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Собирать логи TeamCity, REST responses, screenshots/video для UI и build logs.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6B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6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6" w:name="toc_sec_1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Отслеживание процесса</w:t>
      </w:r>
      <w:r>
        <w:rPr>
          <w:rtl w:val="0"/>
        </w:rPr>
      </w:r>
      <w:bookmarkEnd w:id="1016"/>
      <w:r/>
      <w:r/>
    </w:p>
    <w:p w14:paraId="0000016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Еженедельный demo-результат по завершенной части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Отчетность автотестов в CI: pass/fail, duration, flaky failures, логи и screenshots для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7" w:name="toc_sec_17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Структура команды тестирования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en-US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</w:r>
      <w:r/>
    </w:p>
    <w:tbl>
      <w:tblPr>
        <w:tblStyle w:val="915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gridCol w:w="3264"/>
        <w:tblGridChange w:id="1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ffffff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6F8DE2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/>
              </w:rPr>
              <w:t xml:space="preserve">ФИО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Роль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Ответственность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Контакты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5870D7D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 w:bidi="undefined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A8767A8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 w:bidi="undefined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3AD3EC10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 w:bidi="undefined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lang w:val="undefined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</w:tbl>
    <w:p w14:paraId="00000180">
      <w:pPr>
        <w:pageBreakBefore w:val="false"/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000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" w:eastAsia="zh-CN" w:bidi="ar-SA"/>
      </w:rPr>
    </w:rPrDefault>
    <w:pPrDefault>
      <w:pPr>
        <w:pBdr/>
        <w:spacing w:after="12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Table Grid Light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7"/>
    <w:basedOn w:val="893"/>
    <w:next w:val="893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9">
    <w:name w:val="Heading 8"/>
    <w:basedOn w:val="893"/>
    <w:next w:val="893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0">
    <w:name w:val="Heading 9"/>
    <w:basedOn w:val="893"/>
    <w:next w:val="893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default="1">
    <w:name w:val="Default Paragraph Font"/>
    <w:uiPriority w:val="1"/>
    <w:semiHidden/>
    <w:unhideWhenUsed/>
    <w:pPr>
      <w:pBdr/>
      <w:spacing/>
      <w:ind/>
    </w:p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>
    <w:name w:val="Heading 1 Char"/>
    <w:basedOn w:val="841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1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1"/>
    <w:link w:val="8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1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1"/>
    <w:link w:val="8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1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1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1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Title Char"/>
    <w:basedOn w:val="841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Subtitle Char"/>
    <w:basedOn w:val="841"/>
    <w:link w:val="9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3"/>
    <w:next w:val="893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1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93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93"/>
    <w:next w:val="893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41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93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1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1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3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1"/>
    <w:link w:val="867"/>
    <w:uiPriority w:val="99"/>
    <w:pPr>
      <w:pBdr/>
      <w:spacing/>
      <w:ind/>
    </w:pPr>
  </w:style>
  <w:style w:type="paragraph" w:styleId="869">
    <w:name w:val="Footer"/>
    <w:basedOn w:val="893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1"/>
    <w:link w:val="869"/>
    <w:uiPriority w:val="99"/>
    <w:pPr>
      <w:pBdr/>
      <w:spacing/>
      <w:ind/>
    </w:pPr>
  </w:style>
  <w:style w:type="paragraph" w:styleId="871">
    <w:name w:val="Caption"/>
    <w:basedOn w:val="893"/>
    <w:next w:val="8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3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3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1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3"/>
    <w:next w:val="893"/>
    <w:uiPriority w:val="39"/>
    <w:unhideWhenUsed/>
    <w:pPr>
      <w:pBdr/>
      <w:spacing w:after="100"/>
      <w:ind/>
    </w:pPr>
  </w:style>
  <w:style w:type="paragraph" w:styleId="881">
    <w:name w:val="toc 2"/>
    <w:basedOn w:val="893"/>
    <w:next w:val="893"/>
    <w:uiPriority w:val="39"/>
    <w:unhideWhenUsed/>
    <w:pPr>
      <w:pBdr/>
      <w:spacing w:after="100"/>
      <w:ind w:left="220"/>
    </w:pPr>
  </w:style>
  <w:style w:type="paragraph" w:styleId="882">
    <w:name w:val="toc 3"/>
    <w:basedOn w:val="893"/>
    <w:next w:val="893"/>
    <w:uiPriority w:val="39"/>
    <w:unhideWhenUsed/>
    <w:pPr>
      <w:pBdr/>
      <w:spacing w:after="100"/>
      <w:ind w:left="440"/>
    </w:pPr>
  </w:style>
  <w:style w:type="paragraph" w:styleId="883">
    <w:name w:val="toc 4"/>
    <w:basedOn w:val="893"/>
    <w:next w:val="893"/>
    <w:uiPriority w:val="39"/>
    <w:unhideWhenUsed/>
    <w:pPr>
      <w:pBdr/>
      <w:spacing w:after="100"/>
      <w:ind w:left="660"/>
    </w:pPr>
  </w:style>
  <w:style w:type="paragraph" w:styleId="884">
    <w:name w:val="toc 5"/>
    <w:basedOn w:val="893"/>
    <w:next w:val="893"/>
    <w:uiPriority w:val="39"/>
    <w:unhideWhenUsed/>
    <w:pPr>
      <w:pBdr/>
      <w:spacing w:after="100"/>
      <w:ind w:left="880"/>
    </w:pPr>
  </w:style>
  <w:style w:type="paragraph" w:styleId="885">
    <w:name w:val="toc 6"/>
    <w:basedOn w:val="893"/>
    <w:next w:val="893"/>
    <w:uiPriority w:val="39"/>
    <w:unhideWhenUsed/>
    <w:pPr>
      <w:pBdr/>
      <w:spacing w:after="100"/>
      <w:ind w:left="1100"/>
    </w:pPr>
  </w:style>
  <w:style w:type="paragraph" w:styleId="886">
    <w:name w:val="toc 7"/>
    <w:basedOn w:val="893"/>
    <w:next w:val="893"/>
    <w:uiPriority w:val="39"/>
    <w:unhideWhenUsed/>
    <w:pPr>
      <w:pBdr/>
      <w:spacing w:after="100"/>
      <w:ind w:left="1320"/>
    </w:pPr>
  </w:style>
  <w:style w:type="paragraph" w:styleId="887">
    <w:name w:val="toc 8"/>
    <w:basedOn w:val="893"/>
    <w:next w:val="893"/>
    <w:uiPriority w:val="39"/>
    <w:unhideWhenUsed/>
    <w:pPr>
      <w:pBdr/>
      <w:spacing w:after="100"/>
      <w:ind w:left="1540"/>
    </w:pPr>
  </w:style>
  <w:style w:type="paragraph" w:styleId="888">
    <w:name w:val="toc 9"/>
    <w:basedOn w:val="893"/>
    <w:next w:val="893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1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3"/>
    <w:next w:val="893"/>
    <w:uiPriority w:val="99"/>
    <w:unhideWhenUsed/>
    <w:pPr>
      <w:pBdr/>
      <w:spacing w:after="0" w:afterAutospacing="0"/>
      <w:ind/>
    </w:pPr>
  </w:style>
  <w:style w:type="table" w:styleId="8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 w:default="1">
    <w:name w:val="Normal"/>
    <w:pPr>
      <w:pBdr/>
      <w:spacing/>
      <w:ind/>
    </w:pPr>
  </w:style>
  <w:style w:type="paragraph" w:styleId="894">
    <w:name w:val="Heading 1"/>
    <w:basedOn w:val="893"/>
    <w:next w:val="893"/>
    <w:pPr>
      <w:keepNext w:val="true"/>
      <w:keepLines w:val="true"/>
      <w:pBdr/>
      <w:spacing w:after="160" w:before="320"/>
      <w:ind/>
    </w:pPr>
    <w:rPr>
      <w:rFonts w:ascii="Calibri" w:hAnsi="Calibri" w:eastAsia="Calibri" w:cs="Calibri"/>
      <w:b/>
      <w:bCs/>
      <w:color w:val="2e74b5"/>
      <w:sz w:val="32"/>
      <w:szCs w:val="32"/>
    </w:rPr>
  </w:style>
  <w:style w:type="paragraph" w:styleId="895">
    <w:name w:val="Heading 2"/>
    <w:basedOn w:val="893"/>
    <w:next w:val="893"/>
    <w:pPr>
      <w:keepNext w:val="true"/>
      <w:keepLines w:val="true"/>
      <w:pBdr/>
      <w:spacing w:after="120" w:before="24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6">
    <w:name w:val="Heading 3"/>
    <w:basedOn w:val="893"/>
    <w:next w:val="893"/>
    <w:pPr>
      <w:keepNext w:val="true"/>
      <w:keepLines w:val="true"/>
      <w:pBdr/>
      <w:spacing w:after="80" w:before="160"/>
      <w:ind/>
    </w:pPr>
    <w:rPr>
      <w:rFonts w:ascii="Calibri" w:hAnsi="Calibri" w:eastAsia="Calibri" w:cs="Calibri"/>
      <w:b/>
      <w:bCs/>
      <w:color w:val="1f4d78"/>
      <w:sz w:val="24"/>
      <w:szCs w:val="24"/>
    </w:rPr>
  </w:style>
  <w:style w:type="paragraph" w:styleId="897">
    <w:name w:val="Heading 4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i/>
      <w:iCs/>
      <w:color w:val="4f81bd"/>
    </w:rPr>
  </w:style>
  <w:style w:type="paragraph" w:styleId="898">
    <w:name w:val="Heading 5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243f61"/>
    </w:rPr>
  </w:style>
  <w:style w:type="paragraph" w:styleId="899">
    <w:name w:val="Heading 6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243f61"/>
    </w:rPr>
  </w:style>
  <w:style w:type="paragraph" w:styleId="900">
    <w:name w:val="Title"/>
    <w:basedOn w:val="893"/>
    <w:next w:val="893"/>
    <w:pPr>
      <w:pBdr>
        <w:bottom w:val="single" w:color="4f81bd" w:sz="8" w:space="4"/>
      </w:pBdr>
      <w:spacing w:after="120" w:line="240" w:lineRule="auto"/>
      <w:ind/>
    </w:pPr>
    <w:rPr>
      <w:rFonts w:ascii="Calibri" w:hAnsi="Calibri" w:eastAsia="Calibri" w:cs="Calibri"/>
      <w:b/>
      <w:bCs/>
      <w:color w:val="0b2545"/>
      <w:sz w:val="44"/>
      <w:szCs w:val="44"/>
    </w:rPr>
  </w:style>
  <w:style w:type="paragraph" w:styleId="901">
    <w:name w:val="Subtitle"/>
    <w:basedOn w:val="893"/>
    <w:next w:val="893"/>
    <w:pPr>
      <w:pBdr/>
      <w:spacing w:after="240"/>
      <w:ind/>
    </w:pPr>
    <w:rPr>
      <w:rFonts w:ascii="Calibri" w:hAnsi="Calibri" w:eastAsia="Calibri" w:cs="Calibri"/>
      <w:i/>
      <w:iCs/>
      <w:color w:val="5a5a5a"/>
      <w:sz w:val="26"/>
      <w:szCs w:val="26"/>
    </w:rPr>
  </w:style>
  <w:style w:type="table" w:styleId="902">
    <w:name w:val="StGen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StGen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StGen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StGen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StGen4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StGen5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StGen6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StGen7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StGen8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StGen9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StGen1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1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StGen1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2026-07-01T12:49:59Z</dcterms:modified>
</cp:coreProperties>
</file>