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900"/>
        <w:pageBreakBefore w:val="false"/>
        <w:pBdr/>
        <w:spacing/>
        <w:ind/>
        <w:jc w:val="left"/>
        <w:rPr/>
      </w:pPr>
      <w:r>
        <w:rPr>
          <w:rFonts w:ascii="Calibri" w:hAnsi="Calibri" w:eastAsia="Calibri" w:cs="Calibri"/>
          <w:b/>
          <w:bCs/>
          <w:color w:val="0b2545"/>
          <w:sz w:val="44"/>
          <w:szCs w:val="44"/>
          <w:rtl w:val="0"/>
        </w:rPr>
        <w:t xml:space="preserve">Тест План</w:t>
      </w:r>
      <w:r>
        <w:rPr>
          <w:rtl w:val="0"/>
        </w:rPr>
      </w:r>
      <w:r/>
    </w:p>
    <w:p w14:paraId="00000002">
      <w:pPr>
        <w:pStyle w:val="901"/>
        <w:pageBreakBefore w:val="false"/>
        <w:pBdr/>
        <w:spacing/>
        <w:ind/>
        <w:rPr/>
      </w:pPr>
      <w:r>
        <w:rPr>
          <w:rFonts w:ascii="Calibri" w:hAnsi="Calibri" w:eastAsia="Calibri" w:cs="Calibri"/>
          <w:i/>
          <w:iCs/>
          <w:color w:val="5a5a5a"/>
          <w:sz w:val="26"/>
          <w:szCs w:val="26"/>
          <w:rtl w:val="0"/>
        </w:rPr>
        <w:t xml:space="preserve">по автоматизации тестирования TeamCity</w:t>
      </w:r>
      <w:r>
        <w:rPr>
          <w:rtl w:val="0"/>
        </w:rPr>
      </w:r>
      <w:r/>
    </w:p>
    <w:p w14:paraId="00000003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color w:val="505050"/>
          <w:sz w:val="22"/>
          <w:szCs w:val="22"/>
          <w:rtl w:val="0"/>
        </w:rPr>
        <w:t xml:space="preserve">Версия плана: 1.1</w:t>
        <w:br/>
        <w:t xml:space="preserve">Дата: 30.06.2026</w:t>
        <w:br/>
      </w:r>
      <w:r>
        <w:rPr>
          <w:rtl w:val="0"/>
        </w:rPr>
      </w:r>
      <w:r/>
    </w:p>
    <w:p w14:paraId="00000004">
      <w:pPr>
        <w:pStyle w:val="894"/>
        <w:keepNext w:val="true"/>
        <w:pageBreakBefore w:val="false"/>
        <w:pBdr/>
        <w:spacing w:after="120" w:before="240"/>
        <w:ind/>
        <w:rPr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Содержание</w:t>
      </w:r>
      <w:r>
        <w:rPr>
          <w:rtl w:val="0"/>
        </w:rPr>
      </w:r>
      <w:r/>
    </w:p>
    <w:p w14:paraId="00000005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1" w:anchor="toc_sec_01" w:history="1">
        <w:r>
          <w:rPr>
            <w:color w:val="0563c1"/>
            <w:u w:val="single"/>
          </w:rPr>
          <w:t xml:space="preserve">Исходные условия проекта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6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2" w:anchor="toc_sec_02" w:history="1">
        <w:r>
          <w:rPr>
            <w:color w:val="0563c1"/>
            <w:u w:val="single"/>
          </w:rPr>
          <w:t xml:space="preserve">Цель плана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7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3" w:anchor="toc_sec_03" w:history="1">
        <w:r>
          <w:rPr>
            <w:color w:val="0563c1"/>
            <w:u w:val="single"/>
          </w:rPr>
          <w:t xml:space="preserve">Метрики продукта и автоматизации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8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4" w:anchor="toc_sec_04" w:history="1">
        <w:r>
          <w:rPr>
            <w:color w:val="0563c1"/>
            <w:u w:val="single"/>
          </w:rPr>
          <w:t xml:space="preserve">Аспекты качества продукта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9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5" w:anchor="toc_sec_05" w:history="1">
        <w:r>
          <w:rPr>
            <w:color w:val="0563c1"/>
            <w:u w:val="single"/>
          </w:rPr>
          <w:t xml:space="preserve">Виды и уровни тестирования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A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6" w:anchor="toc_sec_06" w:history="1">
        <w:r>
          <w:rPr>
            <w:color w:val="0563c1"/>
            <w:u w:val="single"/>
          </w:rPr>
          <w:t xml:space="preserve">Стек автоматизации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B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7" w:anchor="toc_sec_07" w:history="1">
        <w:r>
          <w:rPr>
            <w:color w:val="0563c1"/>
            <w:u w:val="single"/>
          </w:rPr>
          <w:t xml:space="preserve">Тестовое окружение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C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8" w:anchor="toc_sec_08" w:history="1">
        <w:r>
          <w:rPr>
            <w:color w:val="0563c1"/>
            <w:u w:val="single"/>
          </w:rPr>
          <w:t xml:space="preserve">Критичный MVP-сценарий автоматизации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D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9" w:anchor="toc_sec_09" w:history="1">
        <w:r>
          <w:rPr>
            <w:color w:val="0563c1"/>
            <w:u w:val="single"/>
          </w:rPr>
          <w:t xml:space="preserve">UI Automation Scope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E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0" w:anchor="toc_sec_10" w:history="1">
        <w:r>
          <w:rPr>
            <w:color w:val="0563c1"/>
            <w:u w:val="single"/>
          </w:rPr>
          <w:t xml:space="preserve">Стратегия тестовых данных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F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1" w:anchor="toc_sec_11" w:history="1">
        <w:r>
          <w:rPr>
            <w:color w:val="0563c1"/>
            <w:u w:val="single"/>
          </w:rPr>
          <w:t xml:space="preserve">Тестовые сценарии и скоуп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0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2" w:anchor="toc_sec_12" w:history="1">
        <w:r>
          <w:rPr>
            <w:color w:val="0563c1"/>
            <w:u w:val="single"/>
          </w:rPr>
          <w:t xml:space="preserve">Поэтапный план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1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3" w:anchor="toc_sec_13" w:history="1">
        <w:r>
          <w:rPr>
            <w:color w:val="0563c1"/>
            <w:u w:val="single"/>
          </w:rPr>
          <w:t xml:space="preserve">Необходимые ресурсы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2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4" w:anchor="toc_sec_14" w:history="1">
        <w:r>
          <w:rPr>
            <w:color w:val="0563c1"/>
            <w:u w:val="single"/>
          </w:rPr>
          <w:t xml:space="preserve">Распределение работ в команде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3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5" w:anchor="toc_sec_15" w:history="1">
        <w:r>
          <w:rPr>
            <w:color w:val="0563c1"/>
            <w:u w:val="single"/>
          </w:rPr>
          <w:t xml:space="preserve">Риски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4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6" w:anchor="toc_sec_16" w:history="1">
        <w:r>
          <w:rPr>
            <w:color w:val="0563c1"/>
            <w:u w:val="single"/>
          </w:rPr>
          <w:t xml:space="preserve">Отслеживание процесса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5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7" w:anchor="toc_sec_17" w:history="1">
        <w:r>
          <w:rPr>
            <w:color w:val="0563c1"/>
            <w:u w:val="single"/>
          </w:rPr>
          <w:t xml:space="preserve">Структура команды тестирования (нет информации о ФИО и контактах)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C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1" w:name="toc_sec_01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Исходные условия проекта</w:t>
      </w:r>
      <w:r>
        <w:rPr>
          <w:rtl w:val="0"/>
        </w:rPr>
      </w:r>
      <w:bookmarkEnd w:id="1001"/>
      <w:r/>
      <w:r/>
    </w:p>
    <w:tbl>
      <w:tblPr>
        <w:tblStyle w:val="902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Параметр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Решение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Команда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3 QA Automation Engineers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Состояние тестов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>У TeamCity есть unit tests на стороне продукта, но в зоне нашего проекта нет готовых ручных тест-кейсов и нет готового UI/API/E2E автотестового suite.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Продукт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On-Premises, локальный запуск через Docker Compose.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Целевая версия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2026.1.1, build 222577. Целевая версия выбрана как закрепленный bug-fix релиз ветки 2026.1: она стабильнее базового 2026.1, не меняется автоматически как latest и делает результаты автотестов воспроизводимыми.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Agent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Полный образ jetbrains/teamcity-agent:2026.1.1; minimal-agent не используем как основной.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Локальная база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Internal database / HSQLDB для быстрого локального старта.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CI-подход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Fast CI на internal HSQLDB, production-like CI на PostgreSQL, compatibility smoke на остальных поддерживаемых БД.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Test Management System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информации: конкретная TMS не выбрана.</w:t>
            </w:r>
            <w:r>
              <w:rPr>
                <w:rtl w:val="0"/>
              </w:rPr>
            </w:r>
            <w:r/>
          </w:p>
        </w:tc>
      </w:tr>
    </w:tbl>
    <w:p w14:paraId="0000002F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16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2" w:name="toc_sec_02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Цель плана</w:t>
      </w:r>
      <w:r>
        <w:rPr>
          <w:rtl w:val="0"/>
        </w:rPr>
      </w:r>
      <w:bookmarkEnd w:id="1002"/>
      <w:r/>
      <w:r/>
    </w:p>
    <w:p w14:paraId="00000017">
      <w:pPr>
        <w:pageBreakBefore w:val="false"/>
        <w:pBdr/>
        <w:spacing w:after="120" w:line="259" w:lineRule="auto"/>
        <w:ind/>
        <w:rPr/>
      </w:pPr>
      <w:r>
        <w:rPr>
          <w:rFonts w:ascii="Calibri" w:hAnsi="Calibri"/>
        </w:rPr>
        <w:t>Цель тест-плана — определить стратегию автоматизации TeamCity с нуля для команды из трех QA Automation Engineers. На старте проекта отсутствуют готовые ручные тест-кейсы и готовый UI/API/E2E suite; существующие unit tests продукта не входят в наш black-box scope. Первый этап должен дать быстрый, демонстрируемый результат и одновременно заложить основу для расширения покрытия.</w:t>
      </w:r>
    </w:p>
    <w:p w14:paraId="0000001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Сконцентрироваться на наиболее критичной функциональности продукта.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Покрыть сквозной жизненный цикл TeamCity: первый запуск, администратор, agent, project, build configuration, build run.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Разделить UI и API автоматизацию так, чтобы UI проверял только критичные пользовательские flows, а API давал стабильное и быстрое покрытие.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Подготовить pipeline, который поднимает стенд и запускает автотесты воспроизводимо.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0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3" w:name="toc_sec_03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Метрики продукта и автоматизации</w:t>
      </w:r>
      <w:r>
        <w:rPr>
          <w:rtl w:val="0"/>
        </w:rPr>
      </w:r>
      <w:bookmarkEnd w:id="1003"/>
      <w:r/>
      <w:r/>
    </w:p>
    <w:p w14:paraId="00000031">
      <w:pPr>
        <w:pageBreakBefore w:val="false"/>
        <w:pBdr/>
        <w:spacing w:after="120" w:line="259" w:lineRule="auto"/>
        <w:ind/>
        <w:rPr/>
      </w:pPr>
      <w:r>
        <w:t xml:space="preserve">Цели тест-плана сразу переформулированы в измеримые метрики, чтобы было понятно, по каким критериям команда проверяет успешность автоматизации.</w:t>
      </w:r>
      <w:r/>
    </w:p>
    <w:tbl>
      <w:tblPr>
        <w:tblStyle w:val="903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15"/>
        <w:gridCol w:w="3313"/>
        <w:gridCol w:w="3264"/>
        <w:tblGridChange w:id="1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b/>
                <w:sz w:val="19"/>
              </w:rPr>
              <w:t xml:space="preserve">Цель тест-плана</w:t>
            </w:r>
            <w:r/>
          </w:p>
        </w:tc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b/>
                <w:sz w:val="19"/>
              </w:rPr>
              <w:t xml:space="preserve">Метрика</w:t>
            </w:r>
            <w:r/>
          </w:p>
        </w:tc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b/>
                <w:sz w:val="19"/>
              </w:rPr>
              <w:t xml:space="preserve">Целевое значение / критерий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 xml:space="preserve">Сконцентрироваться на наиболее критичной функциональности продукта.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 xml:space="preserve">P0 coverage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  <w:lang w:val="ru-RU"/>
              </w:rPr>
              <w:t xml:space="preserve">90</w:t>
            </w:r>
            <w:r>
              <w:rPr>
                <w:rFonts w:ascii="Calibri" w:hAnsi="Calibri"/>
                <w:sz w:val="19"/>
              </w:rPr>
              <w:t xml:space="preserve">% критичного MVP-flow покрыто автотестами: first start, admin, agent, project, build configuration, build run, build result.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70E24A79">
            <w:pPr>
              <w:pBdr/>
              <w:shd w:val="clear" w:color="e6b9b8" w:themeColor="accent2" w:themeTint="66" w:fill="e6b9b8" w:themeFill="accent2" w:themeFillTint="66"/>
              <w:spacing w:after="0" w:line="259" w:lineRule="auto"/>
              <w:ind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z w:val="19"/>
              </w:rPr>
            </w:r>
            <w:r>
              <w:rPr>
                <w:rFonts w:ascii="Calibri" w:hAnsi="Calibri"/>
                <w:sz w:val="19"/>
              </w:rPr>
              <w:t xml:space="preserve">Оценить влияние автоматизации на delivery </w:t>
            </w:r>
            <w:r>
              <w:rPr>
                <w:rFonts w:ascii="Calibri" w:hAnsi="Calibri"/>
                <w:sz w:val="19"/>
              </w:rPr>
            </w:r>
            <w:r>
              <w:rPr>
                <w:rFonts w:ascii="Calibri" w:hAnsi="Calibri"/>
                <w:sz w:val="19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00652664">
            <w:pPr>
              <w:pBdr/>
              <w:shd w:val="clear" w:color="e6b9b8" w:themeColor="accent2" w:themeTint="66" w:fill="e6b9b8" w:themeFill="accent2" w:themeFillTint="66"/>
              <w:spacing w:after="0" w:line="259" w:lineRule="auto"/>
              <w:ind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z w:val="19"/>
              </w:rPr>
            </w:r>
            <w:r>
              <w:rPr>
                <w:rFonts w:ascii="Calibri" w:hAnsi="Calibri"/>
                <w:sz w:val="19"/>
              </w:rPr>
              <w:t xml:space="preserve">Time To Market </w:t>
            </w:r>
            <w:r>
              <w:rPr>
                <w:rFonts w:ascii="Calibri" w:hAnsi="Calibri"/>
                <w:sz w:val="19"/>
              </w:rPr>
            </w:r>
            <w:r>
              <w:rPr>
                <w:rFonts w:ascii="Calibri" w:hAnsi="Calibri"/>
                <w:sz w:val="19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07C985EE">
            <w:pPr>
              <w:pBdr/>
              <w:shd w:val="clear" w:color="e6b9b8" w:themeColor="accent2" w:themeTint="66" w:fill="e6b9b8" w:themeFill="accent2" w:themeFillTint="66"/>
              <w:spacing w:after="0" w:line="259" w:lineRule="auto"/>
              <w:ind/>
              <w:rPr>
                <w:rFonts w:ascii="Calibri" w:hAnsi="Calibri"/>
                <w:sz w:val="19"/>
                <w:szCs w:val="19"/>
                <w14:ligatures w14:val="none"/>
              </w:rPr>
            </w:pPr>
            <w:r>
              <w:rPr>
                <w:rFonts w:ascii="Calibri" w:hAnsi="Calibri"/>
                <w:sz w:val="19"/>
              </w:rPr>
            </w:r>
            <w:r>
              <w:rPr>
                <w:rFonts w:ascii="Calibri" w:hAnsi="Calibri"/>
                <w:sz w:val="19"/>
                <w:szCs w:val="19"/>
              </w:rPr>
              <w:t xml:space="preserve">Ускорить на 20%</w:t>
            </w:r>
            <w:r>
              <w:rPr>
                <w:rFonts w:ascii="Calibri" w:hAnsi="Calibri"/>
                <w:sz w:val="19"/>
                <w:szCs w:val="19"/>
              </w:rPr>
              <w:t xml:space="preserve"> </w:t>
            </w:r>
            <w:r>
              <w:rPr>
                <w:rFonts w:ascii="Calibri" w:hAnsi="Calibri"/>
                <w:sz w:val="19"/>
                <w:szCs w:val="19"/>
              </w:rPr>
              <w:t xml:space="preserve">время доставки новой функциональности в продакшн версию продукта.</w:t>
            </w:r>
            <w:r>
              <w:rPr>
                <w:rFonts w:ascii="Calibri" w:hAnsi="Calibri"/>
                <w:sz w:val="19"/>
                <w:szCs w:val="19"/>
                <w:lang w:val="ru-RU"/>
              </w:rPr>
              <w:t xml:space="preserve"> – надо понять точно ли это нужная метрик </w:t>
            </w:r>
            <w:r>
              <w:rPr>
                <w:rFonts w:ascii="Calibri" w:hAnsi="Calibri"/>
                <w:sz w:val="19"/>
                <w:szCs w:val="19"/>
              </w:rPr>
            </w:r>
            <w:r>
              <w:rPr>
                <w:rFonts w:ascii="Calibri" w:hAnsi="Calibri"/>
                <w:sz w:val="19"/>
                <w:szCs w:val="19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 xml:space="preserve">Подготовить pipeline, который поднимает стенд и запускает автотесты воспроизводимо.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 xml:space="preserve">Pipeline readiness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 xml:space="preserve">К концу 4-й недели pipeline поднимает стенд, выполняет bootstrap, запускает UI/API suites и публикует отчет.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 xml:space="preserve">Быстро обнаруживать критичные поломки.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</w:r>
            <w:r>
              <w:rPr>
                <w:rFonts w:ascii="Calibri" w:hAnsi="Calibri"/>
                <w:sz w:val="19"/>
                <w:szCs w:val="19"/>
              </w:rPr>
              <w:t xml:space="preserve">Mean Time to Detect</w:t>
            </w:r>
            <w:r>
              <w:rPr>
                <w:rFonts w:ascii="Calibri" w:hAnsi="Calibri"/>
                <w:sz w:val="19"/>
              </w:rPr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>
                <w:rFonts w:ascii="Calibri" w:hAnsi="Calibri"/>
                <w:sz w:val="19"/>
                <w:szCs w:val="19"/>
                <w14:ligatures w14:val="none"/>
              </w:rPr>
            </w:pPr>
            <w:r>
              <w:rPr>
                <w:rFonts w:ascii="Calibri" w:hAnsi="Calibri"/>
                <w:sz w:val="19"/>
              </w:rPr>
            </w:r>
            <w:r>
              <w:rPr>
                <w:rFonts w:ascii="Calibri" w:hAnsi="Calibri"/>
                <w:sz w:val="19"/>
                <w:szCs w:val="19"/>
              </w:rPr>
              <w:t xml:space="preserve">Уменьшить среднее время обнаружения ошибок до 2 часов для регрессионного тестирования. </w:t>
            </w:r>
            <w:r>
              <w:rPr>
                <w:rFonts w:ascii="Calibri" w:hAnsi="Calibri"/>
                <w:sz w:val="19"/>
                <w:szCs w:val="19"/>
              </w:rPr>
            </w:r>
            <w:r>
              <w:rPr>
                <w:rFonts w:ascii="Calibri" w:hAnsi="Calibri"/>
                <w:sz w:val="19"/>
                <w:szCs w:val="19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 xml:space="preserve">Сохранять доверие к автотестам.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 xml:space="preserve">Pass Rate / Flaky Rate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 xml:space="preserve">Pass Rate &gt;= 95% на стабильном стенде; Flaky Rate &lt;= 3%.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 xml:space="preserve">Контролировать длительность быстрого smoke-прогона.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 xml:space="preserve">Smoke duration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 xml:space="preserve">&lt;= 20 минут для fast CI.</w:t>
            </w:r>
            <w:r/>
          </w:p>
        </w:tc>
      </w:tr>
    </w:tbl>
    <w:p w14:paraId="00000053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54">
      <w:pPr>
        <w:pStyle w:val="894"/>
        <w:keepNext w:val="true"/>
        <w:pageBreakBefore w:val="false"/>
        <w:pBdr/>
        <w:spacing w:after="120" w:before="240"/>
        <w:ind/>
        <w:rPr>
          <w:highlight w:val="yellow"/>
        </w:rPr>
      </w:pPr>
      <w:r>
        <w:rPr>
          <w:highlight w:val="yellow"/>
        </w:rPr>
      </w:r>
      <w:bookmarkStart w:id="1004" w:name="toc_sec_04"/>
      <w:r>
        <w:rPr>
          <w:rFonts w:ascii="Calibri" w:hAnsi="Calibri" w:eastAsia="Calibri" w:cs="Calibri"/>
          <w:b/>
          <w:bCs/>
          <w:color w:val="2e74b5"/>
          <w:sz w:val="32"/>
          <w:szCs w:val="32"/>
          <w:highlight w:val="yellow"/>
          <w:rtl w:val="0"/>
        </w:rPr>
        <w:t xml:space="preserve">Аспекты качества продукта</w:t>
      </w:r>
      <w:r>
        <w:rPr>
          <w:highlight w:val="yellow"/>
          <w:rtl w:val="0"/>
        </w:rPr>
      </w:r>
      <w:bookmarkEnd w:id="1004"/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TODO</w:t>
      </w:r>
      <w:r>
        <w:rPr>
          <w:highlight w:val="yellow"/>
          <w:lang w:val="en-US"/>
        </w:rPr>
      </w:r>
      <w:r>
        <w:rPr>
          <w:highlight w:val="yellow"/>
        </w:rPr>
      </w:r>
    </w:p>
    <w:tbl>
      <w:tblPr>
        <w:tblStyle w:val="904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2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Аспект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Почему критично для TeamCity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Риск без покрытия</w:t>
            </w:r>
            <w:r>
              <w:rPr>
                <w:rtl w:val="0"/>
              </w:rPr>
            </w:r>
            <w:r/>
          </w:p>
        </w:tc>
      </w:tr>
    </w:tbl>
    <w:p w14:paraId="0000006D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6E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5" w:name="toc_sec_05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Виды и уровни тестирования</w:t>
      </w:r>
      <w:r>
        <w:rPr>
          <w:rtl w:val="0"/>
        </w:rPr>
      </w:r>
      <w:bookmarkEnd w:id="1005"/>
      <w:r/>
      <w:r/>
    </w:p>
    <w:tbl>
      <w:tblPr>
        <w:tblStyle w:val="905"/>
        <w:tblInd w:w="-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1300"/>
        <w:gridCol w:w="2150"/>
        <w:gridCol w:w="3450"/>
        <w:gridCol w:w="2460"/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6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7"/>
              </w:rPr>
              <w:t>Приоритет</w:t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7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7"/>
              </w:rPr>
              <w:t>Вид тестирования</w:t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7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7"/>
              </w:rPr>
              <w:t>Решение для проекта</w:t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2F2F2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sz w:val="17"/>
              </w:rPr>
              <w:t>Кто отвечает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7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7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E2E Smoke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7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Критичный путь от первого запуска до успешного build.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7"/>
              </w:rPr>
              <w:t>Вся команда; интегратор недели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7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7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API Testing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7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Project, build configuration, build run, build status, server readiness.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7"/>
              </w:rPr>
              <w:t>QA Automation Engineers, по API-сущностям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7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7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UI Testing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7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Только критичные flows: setup wizard, first admin, agent authorization.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7"/>
              </w:rPr>
              <w:t>QA Automation Engineers, по UI-flow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7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7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Bootstrap / Installability Testing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7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Headless-подготовка стенда для CI без ручного UI.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7"/>
              </w:rPr>
              <w:t>Вся команда; bootstrap-owner недели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7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7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Integration Testing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8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Связка Server + Agent + REST API + build lifecycle.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7"/>
              </w:rPr>
              <w:t>Вся команда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8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8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Database Compatibility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8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Smoke с PostgreSQL, MySQL, MariaDB, MS SQL Server, Oracle.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7"/>
              </w:rPr>
              <w:t>QA Automation Engineers, по ротации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8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P2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8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Regression Testing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8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Расширение после стабилизации MVP-покрытия.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7"/>
              </w:rPr>
              <w:t>Вся команда после MVP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8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P2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8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Security Testing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8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Минимально: admin/login/token/agent authorization; полный security scope не описан.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7"/>
              </w:rPr>
              <w:t>QA Automation Engineers; scope уточняется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8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Out of Scope на старте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8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Unit Testing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8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9"/>
              </w:rPr>
              <w:t>Unit tests продукта существуют, но не входят в scope команды на старте; проект проверяет TeamCity как black-box через UI/API/E2E.</w:t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7"/>
              </w:rPr>
              <w:t>Команда продукта; вне scope проекта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8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Out of Scope на старте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8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Performance/Load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8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7"/>
                <w:szCs w:val="19"/>
                <w:rtl w:val="0"/>
              </w:rPr>
              <w:t xml:space="preserve">Не входит в первые 4 недели, кроме базового контроля длительности smoke.</w:t>
            </w:r>
            <w:r>
              <w:rPr>
                <w:rFonts w:ascii="Calibri" w:hAnsi="Calibri"/>
                <w:sz w:val="17"/>
                <w:rtl w:val="0"/>
              </w:rPr>
            </w: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7"/>
              </w:rPr>
              <w:t>Не назначается на первые 4 недели</w:t>
            </w:r>
          </w:p>
        </w:tc>
      </w:tr>
    </w:tbl>
    <w:p w14:paraId="00000090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91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6" w:name="toc_sec_06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Стек автоматизации</w:t>
      </w:r>
      <w:r>
        <w:rPr>
          <w:rtl w:val="0"/>
        </w:rPr>
      </w:r>
      <w:bookmarkEnd w:id="1006"/>
      <w:r/>
      <w:r/>
    </w:p>
    <w:tbl>
      <w:tblPr>
        <w:tblStyle w:val="906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4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Компонент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Выбор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Обоснование / статус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Язык программирования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Python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Команда пишет автотесты на Python; подходит для Pytest, API и Playwright.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UI automation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Playwright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Используется для критичных UI flows: setup wizard, first admin, agent authorization.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API automation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Pytest + HTTP client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Pytest зафиксирован как подход; конкретная HTTP-библиотека не выбрана, можно использовать requests/httpx.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Containerization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Docker Compose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Локальный TeamCity Server + full Agent запускаются через compose.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CI/CD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 о конкретной CI-платформе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Нужен pipeline для bootstrap, readiness checks, UI/API suites и отчетности.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Test reports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 о финальном инструменте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Минимум: pass/fail, duration, logs, screenshots для UI; Allure/JUnit можно выбрать отдельно.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TMS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Система хранения ручных тест-кейсов и связь с автотестами не выбраны.</w:t>
            </w:r>
            <w:r>
              <w:rPr>
                <w:rtl w:val="0"/>
              </w:rPr>
            </w:r>
            <w:r/>
          </w:p>
        </w:tc>
      </w:tr>
    </w:tbl>
    <w:p w14:paraId="000000AA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AB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7" w:name="toc_sec_07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Тестовое окружение</w:t>
      </w:r>
      <w:r>
        <w:rPr>
          <w:rtl w:val="0"/>
        </w:rPr>
      </w:r>
      <w:bookmarkEnd w:id="1007"/>
      <w:r/>
      <w:r/>
    </w:p>
    <w:p w14:paraId="000000AC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Тестирование проводится в локальном Docker-окружении. Production окружение не используется для автоматизированного тестирования.</w:t>
      </w:r>
      <w:r>
        <w:rPr>
          <w:rtl w:val="0"/>
        </w:rPr>
      </w:r>
      <w:r/>
    </w:p>
    <w:tbl>
      <w:tblPr>
        <w:tblStyle w:val="907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5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Окружение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Состав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Назначение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Local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Internal HSQLDB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Изучение продукта, ручная проверка setup wizard, разработка первых тестов.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Fast CI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Internal HSQLDB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Быстрый запуск P0/P1 автотестов на PR.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Production-like CI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PostgreSQL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Проверка внешней БД и близкого к production сценария.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DB Compatibility Nightly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Server + full Agent + MySQL/MariaDB/MS SQL/Oracle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Smoke-проверка совместимости с поддерживаемыми database backends.</w:t>
            </w:r>
            <w:r>
              <w:rPr>
                <w:rtl w:val="0"/>
              </w:rPr>
            </w:r>
            <w:r/>
          </w:p>
        </w:tc>
      </w:tr>
    </w:tbl>
    <w:p w14:paraId="000000BC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BD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Архитектура локального стенда:</w:t>
      </w:r>
      <w:r>
        <w:rPr>
          <w:rtl w:val="0"/>
        </w:rPr>
      </w:r>
      <w:r/>
    </w:p>
    <w:p w14:paraId="000000BE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Browser -&gt; TeamCity Server на http://localhost:8111.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BF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TeamCity Server -&gt; TeamCity Agent через Docker network и SERVER_URL=http://teamcity-server:8111.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C0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TeamCity Server хранит локальное состояние в teamcity-local/teamcity-data/ и логи в teamcity-local/teamcity-logs/.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C1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Agent хранит конфигурацию, workdir, system/cache/temp/tools/plugins внутри teamcity-local/teamcity-agent-*.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C2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8" w:name="toc_sec_08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Критичный MVP-сценарий автоматизации</w:t>
      </w:r>
      <w:r>
        <w:rPr>
          <w:rtl w:val="0"/>
        </w:rPr>
      </w:r>
      <w:bookmarkEnd w:id="1008"/>
      <w:r/>
      <w:r/>
    </w:p>
    <w:p w14:paraId="000000C3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Первый автоматизированный результат должен доказывать, что TeamCity поднимается и выполняет базовую продуктовую ценность: принимает настройки, подключает agent, создает конфигурацию и запускает build.</w:t>
      </w:r>
      <w:r>
        <w:rPr>
          <w:rtl w:val="0"/>
        </w:rPr>
      </w:r>
      <w:r/>
    </w:p>
    <w:tbl>
      <w:tblPr>
        <w:tblStyle w:val="908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6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Шаг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Ожидаемый результат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Тип проверки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Поднять TeamCity Server и full Agent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Контейнеры запущены, сервер доступен на 8111.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Docker/Bootstrap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Пройти startup confirmation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принимает первый запуск с новым data directory.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UI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Выбрать Internal database / HSQLDB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Локальный стенд проходит database setup.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UI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Создать первого администратора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Admin создан, возможен login.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UI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Авторизовать local-agent-1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Agent переходит из Unauthorized в Connected/Idle.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UI/API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Создать project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Project появляется в TeamCity.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API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Создать build configuration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Build configuration создана и готова к запуску.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API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Запустить простой build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Build стартует на agent и завершается ожидаемым статусом.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API/E2E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Проверить build result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Статус build доступен через REST API и UI.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API/UI</w:t>
            </w:r>
            <w:r>
              <w:rPr>
                <w:rtl w:val="0"/>
              </w:rPr>
            </w:r>
            <w:r/>
          </w:p>
        </w:tc>
      </w:tr>
    </w:tbl>
    <w:p w14:paraId="000000E2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E3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9" w:name="toc_sec_09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UI Automation Scope</w:t>
      </w:r>
      <w:r>
        <w:rPr>
          <w:rtl w:val="0"/>
        </w:rPr>
      </w:r>
      <w:bookmarkEnd w:id="1009"/>
      <w:r/>
      <w:r/>
    </w:p>
    <w:p w14:paraId="000000E4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UI автоматизация покрывает только пользовательские flows, которые невозможно надежно заменить API 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на первом этапе: startup confirmation, database setup, создание первого администратора, login и authorization первого agent. Детальная подготовка данных, создание project/build configuration, запуск build и проверка статусов выполняются на уровне REST API.</w:t>
      </w:r>
      <w:r>
        <w:rPr>
          <w:rtl w:val="0"/>
        </w:rPr>
      </w:r>
      <w:r/>
    </w:p>
    <w:p w14:paraId="000000E5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0" w:name="toc_sec_10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Стратегия тестовых данных</w:t>
      </w:r>
      <w:r>
        <w:rPr>
          <w:rtl w:val="0"/>
        </w:rPr>
      </w:r>
      <w:bookmarkEnd w:id="1010"/>
      <w:r/>
      <w:r/>
    </w:p>
    <w:p w14:paraId="000000E6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Цель стратегии тестовых данных — обеспечить стабильные, воспроизводимые и безопасные данные для UI, API и E2E тестирования TeamCity.</w:t>
      </w:r>
      <w:r>
        <w:rPr>
          <w:rtl w:val="0"/>
        </w:rPr>
      </w:r>
      <w:r/>
    </w:p>
    <w:p w14:paraId="000000E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Для каждого теста создавать уникальные project/build configuration names с префиксом автотестов.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Основная подготовка данных выполняется через REST API, UI используется только там, где проверяется сам пользовательский flow.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Cleanup выполнять через REST API либо полным reset окружения в Docker.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Не хранить реальные секреты, пароли и access tokens в репозитории.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Для CI использовать временные credentials из переменных окружения.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C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Прямой доступ к базе данных использовать только для отладки; основная валидация выполняется через REST API и UI.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tbl>
      <w:tblPr>
        <w:tblStyle w:val="909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4896"/>
        <w:gridCol w:w="4896"/>
        <w:tblGridChange w:id="7">
          <w:tblGrid>
            <w:gridCol w:w="4896"/>
            <w:gridCol w:w="4896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Тип теста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Источник данных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UI Smoke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Setup wizard + минимальные данные, созданные в самом UI flow.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API Tests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API-generated projects, build configurations, builds, tokens.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E2E Tests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Комбинация UI bootstrap + API setup + Docker reset/cleanup.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Database compatibility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 о финальном наборе seed data для внешних БД.</w:t>
            </w:r>
            <w:r>
              <w:rPr>
                <w:rtl w:val="0"/>
              </w:rPr>
            </w:r>
            <w:r/>
          </w:p>
        </w:tc>
      </w:tr>
    </w:tbl>
    <w:p w14:paraId="000000F7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F8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1" w:name="toc_sec_11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Тестовые сценарии и скоуп</w:t>
      </w:r>
      <w:r>
        <w:rPr>
          <w:rtl w:val="0"/>
        </w:rPr>
      </w:r>
      <w:bookmarkEnd w:id="1011"/>
      <w:r/>
      <w:r/>
    </w:p>
    <w:tbl>
      <w:tblPr>
        <w:tblStyle w:val="910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8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Группа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In Scope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Out of Scope на первые 4 недели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Initial Setup / First Admin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Startup confirmation, выбор HSQLDB, создание admin, login.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Все нестандартные enterprise auth flows.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Agent Management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Unauthorized agent, authorization, connected/idle state.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Сложные agent pools, cloud agents, масштабирование agents.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Core REST API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Server info, projects, build configurations, builds, statuses.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Полное покрытие всех REST endpoints.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Build Execution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Простой build, success/failure status, logs.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Все runners и plugin-specific behavior.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Database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HSQLDB fast path, PostgreSQL production-like smoke.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Полный regression на каждой БД.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CI Pipeline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Поднять стенд, bootstrap, запустить suites, собрать отчет.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Полная release инфраструктура и production deployment.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Security / Authorization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Admin login, token usage, agent authorization.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Полный pentest/security audit.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Ссылка на тест-кейсы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TMS или файл с ручными тест-кейсами пока не указан.</w:t>
            </w:r>
            <w:r>
              <w:rPr>
                <w:rtl w:val="0"/>
              </w:rPr>
            </w:r>
            <w:r/>
          </w:p>
        </w:tc>
      </w:tr>
    </w:tbl>
    <w:p w14:paraId="00000114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15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2" w:name="toc_sec_12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Поэтапный план</w:t>
      </w:r>
      <w:r>
        <w:rPr>
          <w:rtl w:val="0"/>
        </w:rPr>
      </w:r>
      <w:bookmarkEnd w:id="1012"/>
      <w:r/>
      <w:r/>
    </w:p>
    <w:tbl>
      <w:tblPr>
        <w:tblStyle w:val="911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9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Неделя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Фокус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Результат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1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Ручные сценарии, тест-дизайн, тестируемость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Описаны P0/P1 сценарии: setup, first admin, agent, project, build configuration, build run, REST checks. Зафиксированы риски тестируемости.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2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UI автотесты + базовый framework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Автоматизирован критичный UI flow: startup confirmation, database selection, first admin, login, agent authorization.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3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API автотесты + build lifecycle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Автоматизированы REST API сценарии: server readiness, project, build configuration, run build, build status, cleanup.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4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Pipeline, bootstrap, отчеты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Собран CI flow: поднятие стенда, bootstrap, запуск UI/API suites, отчетность и стабилизация.</w:t>
            </w:r>
            <w:r>
              <w:rPr>
                <w:rtl w:val="0"/>
              </w:rPr>
            </w:r>
            <w:r/>
          </w:p>
        </w:tc>
      </w:tr>
    </w:tbl>
    <w:p w14:paraId="00000125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26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3" w:name="toc_sec_13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Необходимые ресурсы</w:t>
      </w:r>
      <w:r>
        <w:rPr>
          <w:rtl w:val="0"/>
        </w:rPr>
      </w:r>
      <w:bookmarkEnd w:id="1013"/>
      <w:r/>
      <w:r/>
    </w:p>
    <w:tbl>
      <w:tblPr>
        <w:tblStyle w:val="912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10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Задача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Ответственный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Ожидание / статус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Настройка CI/CD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 / DevOps: нет информации по конкретному владельцу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Готов pipeline для bootstrap, запуска suites, публикации результатов и артефактов.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Документирование тест-кейсов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Engineers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P0/P1 сценарии расписаны до автоматизации; TMS не выбрана.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Создание framework автоматизации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Engineers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Единая структура Pytest/Playwright, фикстуры, cleanup, логирование, отчетность.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Доступы и credentials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Нужны временные credentials/token через переменные окружения CI.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Настройка отчетности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Инструмент отчетности не выбран; минимум нужны pass/fail, duration, logs, UI screenshots.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Code Coverage / Quality Gate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>Unit tests существуют на стороне продукта, но исходный код и их coverage вне зоны проекта; для нашего black-box scope quality gate оценивается по P0/P1 UI/API/E2E pass rate.</w:t>
            </w:r>
          </w:p>
        </w:tc>
      </w:tr>
    </w:tbl>
    <w:p w14:paraId="0000013C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3D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4" w:name="toc_sec_14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Распределение работ в команде</w:t>
      </w:r>
      <w:r>
        <w:rPr>
          <w:rtl w:val="0"/>
        </w:rPr>
      </w:r>
      <w:bookmarkEnd w:id="1014"/>
      <w:r/>
      <w:r/>
    </w:p>
    <w:p w14:paraId="0000013E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Постоянные роли QA Automation 1/2/3 не закрепляются: на каждом этапе задачи дробятся и распределяются между всеми участниками равномерно; роль интегратора и ревьюера ротируется.</w:t>
      </w:r>
      <w:r>
        <w:rPr>
          <w:rtl w:val="0"/>
        </w:rPr>
      </w:r>
      <w:r/>
    </w:p>
    <w:tbl>
      <w:tblPr>
        <w:tblStyle w:val="913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11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Этап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Фокус работ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Равномерное распределение внутри команды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Неделя 1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Ручные сценарии и тест-дизайн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Все 3 QA делят P0/P1 сценарии по частям: setup/admin, agent, API/build lifecycle, bootstrap. Каждый описывает свою часть и участвует в общем review scope.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Неделя 2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UI smoke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Playwright-задачи распределяются между участниками по сценариям; общий результат — startup confirmation, HSQLDB setup, first admin, login, agent authorization.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Неделя 3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REST API + build lifecycle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Pytest/API задачи делятся поровну по сущностям и flow: server readiness, project, build configuration, build run, status, cleanup.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Неделя 4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Docker / Bootstrap / Pipeline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Pipeline-задачи распределяются поровну: compose/bootstrap, readiness checks, запуск UI/API suites, отчеты и стабилизация.</w:t>
            </w:r>
            <w:r>
              <w:rPr>
                <w:rtl w:val="0"/>
              </w:rPr>
            </w:r>
            <w:r/>
          </w:p>
        </w:tc>
      </w:tr>
    </w:tbl>
    <w:p w14:paraId="0000014E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4F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5" w:name="toc_sec_15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Риски</w:t>
      </w:r>
      <w:r>
        <w:rPr>
          <w:rtl w:val="0"/>
        </w:rPr>
      </w:r>
      <w:bookmarkEnd w:id="1015"/>
      <w:r/>
      <w:r/>
    </w:p>
    <w:tbl>
      <w:tblPr>
        <w:tblStyle w:val="914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12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Риск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Влияние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Как минимизировать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Startup confirmation блокирует CI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Pipeline не сможет поднять TeamCity с нуля.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Сделать bootstrap-скрипт и отдельный suite Initial Setup.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UI setup wizard нестабилен для автоматизации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UI-тесты будут flaky.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UI покрывает только P0 flow, остальное переносится в API.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Agent не авторизуется автоматически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Build не сможет стартовать.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Проверять Unauthorized state и автоматизировать authorization шаг.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Долгий первый download Docker images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CI и локальный старт занимают много времени.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Кешировать Docker layers, фиксировать версии образов.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Различия database backends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Ошибки с внешними БД появятся поздно.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Ввести nightly compatibility smoke по поддерживаемым БД.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существующих ручных сценариев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Команда может автоматизировать не тот scope.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Неделя 1 выделена на тест-дизайн и P0/P1 приоритизацию.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Слишком широкий стартовый scope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Команда не покажет результат за 4 недели.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Сначала автоматизировать один критичный E2E path, затем расширяться.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Недостаточная наблюдаемость падений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Падения автотестов будет сложно анализировать.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Собирать логи TeamCity, REST responses, screenshots/video для UI и build logs.</w:t>
            </w:r>
            <w:r>
              <w:rPr>
                <w:rtl w:val="0"/>
              </w:rPr>
            </w:r>
            <w:r/>
          </w:p>
        </w:tc>
      </w:tr>
    </w:tbl>
    <w:p w14:paraId="0000016B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6C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6" w:name="toc_sec_16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Отслеживание процесса</w:t>
      </w:r>
      <w:r>
        <w:rPr>
          <w:rtl w:val="0"/>
        </w:rPr>
      </w:r>
      <w:bookmarkEnd w:id="1016"/>
      <w:r/>
      <w:r/>
    </w:p>
    <w:p w14:paraId="0000016D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Еженедельный demo-результат по завершенной части flow.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6E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Единый backlog сценариев с приоритетами P0/P1/P2.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6F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Отчетность автотестов в CI: pass/fail, duration, flaky failures, логи и screenshots для UI.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70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Definition of Done для теста: стабилен локально, стабилен в CI, имеет cleanup, понятное имя и отчет при падении.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71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Митинг для статуса: нет информации о конкретном формате; рекомендуется синхронизация по итогам недели.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72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Канал информирования: нет информации.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73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7" w:name="toc_sec_17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Структура команды тестирования (нет информации о ФИО и контактах)</w:t>
      </w:r>
      <w:r>
        <w:rPr>
          <w:rtl w:val="0"/>
        </w:rPr>
      </w:r>
      <w:bookmarkEnd w:id="1017"/>
      <w:r/>
      <w:r/>
    </w:p>
    <w:tbl>
      <w:tblPr>
        <w:tblStyle w:val="915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13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Роль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Ответственность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Контакты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 1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Равномерное участие в тест-дизайне, UI/API/bootstrap задачах.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 2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Равномерное участие в тест-дизайне, UI/API/bootstrap задачах.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 3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Равномерное участие в тест-дизайне, UI/API/bootstrap задачах.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tl w:val="0"/>
              </w:rPr>
            </w:r>
            <w:r/>
          </w:p>
        </w:tc>
      </w:tr>
    </w:tbl>
    <w:p w14:paraId="00000180">
      <w:pPr>
        <w:pageBreakBefore w:val="false"/>
        <w:pBdr/>
        <w:spacing/>
        <w:ind/>
        <w:rPr/>
      </w:pPr>
      <w:r>
        <w:rPr>
          <w:rtl w:val="0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panose1 w:val="000005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36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en" w:eastAsia="zh-CN" w:bidi="ar-SA"/>
      </w:rPr>
    </w:rPrDefault>
    <w:pPrDefault>
      <w:pPr>
        <w:pBdr/>
        <w:spacing w:after="12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Table Grid Light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1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2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1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2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3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5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6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1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2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3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4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5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6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1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2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3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4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5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6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8">
    <w:name w:val="Heading 7"/>
    <w:basedOn w:val="893"/>
    <w:next w:val="893"/>
    <w:link w:val="84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9">
    <w:name w:val="Heading 8"/>
    <w:basedOn w:val="893"/>
    <w:next w:val="893"/>
    <w:link w:val="85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0">
    <w:name w:val="Heading 9"/>
    <w:basedOn w:val="893"/>
    <w:next w:val="893"/>
    <w:link w:val="85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1" w:default="1">
    <w:name w:val="Default Paragraph Font"/>
    <w:uiPriority w:val="1"/>
    <w:semiHidden/>
    <w:unhideWhenUsed/>
    <w:pPr>
      <w:pBdr/>
      <w:spacing/>
      <w:ind/>
    </w:pPr>
  </w:style>
  <w:style w:type="numbering" w:styleId="842" w:default="1">
    <w:name w:val="No List"/>
    <w:uiPriority w:val="99"/>
    <w:semiHidden/>
    <w:unhideWhenUsed/>
    <w:pPr>
      <w:pBdr/>
      <w:spacing/>
      <w:ind/>
    </w:pPr>
  </w:style>
  <w:style w:type="character" w:styleId="843">
    <w:name w:val="Heading 1 Char"/>
    <w:basedOn w:val="841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4">
    <w:name w:val="Heading 2 Char"/>
    <w:basedOn w:val="841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5">
    <w:name w:val="Heading 3 Char"/>
    <w:basedOn w:val="841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6">
    <w:name w:val="Heading 4 Char"/>
    <w:basedOn w:val="841"/>
    <w:link w:val="89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7">
    <w:name w:val="Heading 5 Char"/>
    <w:basedOn w:val="841"/>
    <w:link w:val="8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8">
    <w:name w:val="Heading 6 Char"/>
    <w:basedOn w:val="841"/>
    <w:link w:val="89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9">
    <w:name w:val="Heading 7 Char"/>
    <w:basedOn w:val="841"/>
    <w:link w:val="8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0">
    <w:name w:val="Heading 8 Char"/>
    <w:basedOn w:val="841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Heading 9 Char"/>
    <w:basedOn w:val="841"/>
    <w:link w:val="8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2">
    <w:name w:val="Title Char"/>
    <w:basedOn w:val="841"/>
    <w:link w:val="9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3">
    <w:name w:val="Subtitle Char"/>
    <w:basedOn w:val="841"/>
    <w:link w:val="9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93"/>
    <w:next w:val="893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41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6">
    <w:name w:val="List Paragraph"/>
    <w:basedOn w:val="893"/>
    <w:uiPriority w:val="34"/>
    <w:qFormat/>
    <w:pPr>
      <w:pBdr/>
      <w:spacing/>
      <w:ind w:left="720"/>
      <w:contextualSpacing w:val="true"/>
    </w:pPr>
  </w:style>
  <w:style w:type="character" w:styleId="857">
    <w:name w:val="Intense Emphasis"/>
    <w:basedOn w:val="8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8">
    <w:name w:val="Intense Quote"/>
    <w:basedOn w:val="893"/>
    <w:next w:val="893"/>
    <w:link w:val="85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9">
    <w:name w:val="Intense Quote Char"/>
    <w:basedOn w:val="841"/>
    <w:link w:val="85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0">
    <w:name w:val="Intense Reference"/>
    <w:basedOn w:val="8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1">
    <w:name w:val="No Spacing"/>
    <w:basedOn w:val="893"/>
    <w:uiPriority w:val="1"/>
    <w:qFormat/>
    <w:pPr>
      <w:pBdr/>
      <w:spacing w:after="0" w:line="240" w:lineRule="auto"/>
      <w:ind/>
    </w:pPr>
  </w:style>
  <w:style w:type="character" w:styleId="862">
    <w:name w:val="Subtle Emphasis"/>
    <w:basedOn w:val="8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Emphasis"/>
    <w:basedOn w:val="841"/>
    <w:uiPriority w:val="20"/>
    <w:qFormat/>
    <w:pPr>
      <w:pBdr/>
      <w:spacing/>
      <w:ind/>
    </w:pPr>
    <w:rPr>
      <w:i/>
      <w:iCs/>
    </w:rPr>
  </w:style>
  <w:style w:type="character" w:styleId="864">
    <w:name w:val="Strong"/>
    <w:basedOn w:val="841"/>
    <w:uiPriority w:val="22"/>
    <w:qFormat/>
    <w:pPr>
      <w:pBdr/>
      <w:spacing/>
      <w:ind/>
    </w:pPr>
    <w:rPr>
      <w:b/>
      <w:bCs/>
    </w:rPr>
  </w:style>
  <w:style w:type="character" w:styleId="865">
    <w:name w:val="Subtle Reference"/>
    <w:basedOn w:val="8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6">
    <w:name w:val="Book Title"/>
    <w:basedOn w:val="8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7">
    <w:name w:val="Header"/>
    <w:basedOn w:val="893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Header Char"/>
    <w:basedOn w:val="841"/>
    <w:link w:val="867"/>
    <w:uiPriority w:val="99"/>
    <w:pPr>
      <w:pBdr/>
      <w:spacing/>
      <w:ind/>
    </w:pPr>
  </w:style>
  <w:style w:type="paragraph" w:styleId="869">
    <w:name w:val="Footer"/>
    <w:basedOn w:val="893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Footer Char"/>
    <w:basedOn w:val="841"/>
    <w:link w:val="869"/>
    <w:uiPriority w:val="99"/>
    <w:pPr>
      <w:pBdr/>
      <w:spacing/>
      <w:ind/>
    </w:pPr>
  </w:style>
  <w:style w:type="paragraph" w:styleId="871">
    <w:name w:val="Caption"/>
    <w:basedOn w:val="893"/>
    <w:next w:val="89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93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841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841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93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841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841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Hyperlink"/>
    <w:basedOn w:val="84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9">
    <w:name w:val="FollowedHyperlink"/>
    <w:basedOn w:val="8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0">
    <w:name w:val="toc 1"/>
    <w:basedOn w:val="893"/>
    <w:next w:val="893"/>
    <w:uiPriority w:val="39"/>
    <w:unhideWhenUsed/>
    <w:pPr>
      <w:pBdr/>
      <w:spacing w:after="100"/>
      <w:ind/>
    </w:pPr>
  </w:style>
  <w:style w:type="paragraph" w:styleId="881">
    <w:name w:val="toc 2"/>
    <w:basedOn w:val="893"/>
    <w:next w:val="893"/>
    <w:uiPriority w:val="39"/>
    <w:unhideWhenUsed/>
    <w:pPr>
      <w:pBdr/>
      <w:spacing w:after="100"/>
      <w:ind w:left="220"/>
    </w:pPr>
  </w:style>
  <w:style w:type="paragraph" w:styleId="882">
    <w:name w:val="toc 3"/>
    <w:basedOn w:val="893"/>
    <w:next w:val="893"/>
    <w:uiPriority w:val="39"/>
    <w:unhideWhenUsed/>
    <w:pPr>
      <w:pBdr/>
      <w:spacing w:after="100"/>
      <w:ind w:left="440"/>
    </w:pPr>
  </w:style>
  <w:style w:type="paragraph" w:styleId="883">
    <w:name w:val="toc 4"/>
    <w:basedOn w:val="893"/>
    <w:next w:val="893"/>
    <w:uiPriority w:val="39"/>
    <w:unhideWhenUsed/>
    <w:pPr>
      <w:pBdr/>
      <w:spacing w:after="100"/>
      <w:ind w:left="660"/>
    </w:pPr>
  </w:style>
  <w:style w:type="paragraph" w:styleId="884">
    <w:name w:val="toc 5"/>
    <w:basedOn w:val="893"/>
    <w:next w:val="893"/>
    <w:uiPriority w:val="39"/>
    <w:unhideWhenUsed/>
    <w:pPr>
      <w:pBdr/>
      <w:spacing w:after="100"/>
      <w:ind w:left="880"/>
    </w:pPr>
  </w:style>
  <w:style w:type="paragraph" w:styleId="885">
    <w:name w:val="toc 6"/>
    <w:basedOn w:val="893"/>
    <w:next w:val="893"/>
    <w:uiPriority w:val="39"/>
    <w:unhideWhenUsed/>
    <w:pPr>
      <w:pBdr/>
      <w:spacing w:after="100"/>
      <w:ind w:left="1100"/>
    </w:pPr>
  </w:style>
  <w:style w:type="paragraph" w:styleId="886">
    <w:name w:val="toc 7"/>
    <w:basedOn w:val="893"/>
    <w:next w:val="893"/>
    <w:uiPriority w:val="39"/>
    <w:unhideWhenUsed/>
    <w:pPr>
      <w:pBdr/>
      <w:spacing w:after="100"/>
      <w:ind w:left="1320"/>
    </w:pPr>
  </w:style>
  <w:style w:type="paragraph" w:styleId="887">
    <w:name w:val="toc 8"/>
    <w:basedOn w:val="893"/>
    <w:next w:val="893"/>
    <w:uiPriority w:val="39"/>
    <w:unhideWhenUsed/>
    <w:pPr>
      <w:pBdr/>
      <w:spacing w:after="100"/>
      <w:ind w:left="1540"/>
    </w:pPr>
  </w:style>
  <w:style w:type="paragraph" w:styleId="888">
    <w:name w:val="toc 9"/>
    <w:basedOn w:val="893"/>
    <w:next w:val="893"/>
    <w:uiPriority w:val="39"/>
    <w:unhideWhenUsed/>
    <w:pPr>
      <w:pBdr/>
      <w:spacing w:after="100"/>
      <w:ind w:left="1760"/>
    </w:pPr>
  </w:style>
  <w:style w:type="character" w:styleId="889">
    <w:name w:val="Placeholder Text"/>
    <w:basedOn w:val="841"/>
    <w:uiPriority w:val="99"/>
    <w:semiHidden/>
    <w:pPr>
      <w:pBdr/>
      <w:spacing/>
      <w:ind/>
    </w:pPr>
    <w:rPr>
      <w:color w:val="666666"/>
    </w:rPr>
  </w:style>
  <w:style w:type="paragraph" w:styleId="890">
    <w:name w:val="TOC Heading"/>
    <w:uiPriority w:val="39"/>
    <w:unhideWhenUsed/>
    <w:pPr>
      <w:pBdr/>
      <w:spacing/>
      <w:ind/>
    </w:pPr>
  </w:style>
  <w:style w:type="paragraph" w:styleId="891">
    <w:name w:val="table of figures"/>
    <w:basedOn w:val="893"/>
    <w:next w:val="893"/>
    <w:uiPriority w:val="99"/>
    <w:unhideWhenUsed/>
    <w:pPr>
      <w:pBdr/>
      <w:spacing w:after="0" w:afterAutospacing="0"/>
      <w:ind/>
    </w:pPr>
  </w:style>
  <w:style w:type="table" w:styleId="892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 w:default="1">
    <w:name w:val="Normal"/>
    <w:pPr>
      <w:pBdr/>
      <w:spacing/>
      <w:ind/>
    </w:pPr>
  </w:style>
  <w:style w:type="paragraph" w:styleId="894">
    <w:name w:val="Heading 1"/>
    <w:basedOn w:val="893"/>
    <w:next w:val="893"/>
    <w:pPr>
      <w:keepNext w:val="true"/>
      <w:keepLines w:val="true"/>
      <w:pBdr/>
      <w:spacing w:after="160" w:before="320"/>
      <w:ind/>
    </w:pPr>
    <w:rPr>
      <w:rFonts w:ascii="Calibri" w:hAnsi="Calibri" w:eastAsia="Calibri" w:cs="Calibri"/>
      <w:b/>
      <w:bCs/>
      <w:color w:val="2e74b5"/>
      <w:sz w:val="32"/>
      <w:szCs w:val="32"/>
    </w:rPr>
  </w:style>
  <w:style w:type="paragraph" w:styleId="895">
    <w:name w:val="Heading 2"/>
    <w:basedOn w:val="893"/>
    <w:next w:val="893"/>
    <w:pPr>
      <w:keepNext w:val="true"/>
      <w:keepLines w:val="true"/>
      <w:pBdr/>
      <w:spacing w:after="120" w:before="240"/>
      <w:ind/>
    </w:pPr>
    <w:rPr>
      <w:rFonts w:ascii="Calibri" w:hAnsi="Calibri" w:eastAsia="Calibri" w:cs="Calibri"/>
      <w:b/>
      <w:bCs/>
      <w:color w:val="2e74b5"/>
      <w:sz w:val="26"/>
      <w:szCs w:val="26"/>
    </w:rPr>
  </w:style>
  <w:style w:type="paragraph" w:styleId="896">
    <w:name w:val="Heading 3"/>
    <w:basedOn w:val="893"/>
    <w:next w:val="893"/>
    <w:pPr>
      <w:keepNext w:val="true"/>
      <w:keepLines w:val="true"/>
      <w:pBdr/>
      <w:spacing w:after="80" w:before="160"/>
      <w:ind/>
    </w:pPr>
    <w:rPr>
      <w:rFonts w:ascii="Calibri" w:hAnsi="Calibri" w:eastAsia="Calibri" w:cs="Calibri"/>
      <w:b/>
      <w:bCs/>
      <w:color w:val="1f4d78"/>
      <w:sz w:val="24"/>
      <w:szCs w:val="24"/>
    </w:rPr>
  </w:style>
  <w:style w:type="paragraph" w:styleId="897">
    <w:name w:val="Heading 4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b/>
      <w:bCs/>
      <w:i/>
      <w:iCs/>
      <w:color w:val="4f81bd"/>
    </w:rPr>
  </w:style>
  <w:style w:type="paragraph" w:styleId="898">
    <w:name w:val="Heading 5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color w:val="243f61"/>
    </w:rPr>
  </w:style>
  <w:style w:type="paragraph" w:styleId="899">
    <w:name w:val="Heading 6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i/>
      <w:iCs/>
      <w:color w:val="243f61"/>
    </w:rPr>
  </w:style>
  <w:style w:type="paragraph" w:styleId="900">
    <w:name w:val="Title"/>
    <w:basedOn w:val="893"/>
    <w:next w:val="893"/>
    <w:pPr>
      <w:pBdr>
        <w:bottom w:val="single" w:color="4f81bd" w:sz="8" w:space="4"/>
      </w:pBdr>
      <w:spacing w:after="120" w:line="240" w:lineRule="auto"/>
      <w:ind/>
    </w:pPr>
    <w:rPr>
      <w:rFonts w:ascii="Calibri" w:hAnsi="Calibri" w:eastAsia="Calibri" w:cs="Calibri"/>
      <w:b/>
      <w:bCs/>
      <w:color w:val="0b2545"/>
      <w:sz w:val="44"/>
      <w:szCs w:val="44"/>
    </w:rPr>
  </w:style>
  <w:style w:type="paragraph" w:styleId="901">
    <w:name w:val="Subtitle"/>
    <w:basedOn w:val="893"/>
    <w:next w:val="893"/>
    <w:pPr>
      <w:pBdr/>
      <w:spacing w:after="240"/>
      <w:ind/>
    </w:pPr>
    <w:rPr>
      <w:rFonts w:ascii="Calibri" w:hAnsi="Calibri" w:eastAsia="Calibri" w:cs="Calibri"/>
      <w:i/>
      <w:iCs/>
      <w:color w:val="5a5a5a"/>
      <w:sz w:val="26"/>
      <w:szCs w:val="26"/>
    </w:rPr>
  </w:style>
  <w:style w:type="table" w:styleId="902">
    <w:name w:val="StGen0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StGen1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StGen2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StGen3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StGen4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StGen5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StGen6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StGen7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StGen8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StGen9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StGen10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StGen11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StGen12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StGen13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2026-06-30T14:49:14Z</dcterms:modified>
</cp:coreProperties>
</file>