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Style w:val="900"/>
        <w:pageBreakBefore w:val="false"/>
        <w:pBdr/>
        <w:spacing/>
        <w:ind/>
        <w:jc w:val="left"/>
        <w:rPr/>
      </w:pPr>
      <w:r>
        <w:rPr>
          <w:rFonts w:ascii="Calibri" w:hAnsi="Calibri" w:eastAsia="Calibri" w:cs="Calibri"/>
          <w:b/>
          <w:bCs/>
          <w:color w:val="0b2545"/>
          <w:sz w:val="44"/>
          <w:szCs w:val="44"/>
          <w:rtl w:val="0"/>
        </w:rPr>
        <w:t xml:space="preserve">Тест План</w:t>
      </w:r>
      <w:r>
        <w:rPr>
          <w:rtl w:val="0"/>
        </w:rPr>
      </w:r>
      <w:r/>
    </w:p>
    <w:p w14:paraId="00000002">
      <w:pPr>
        <w:pStyle w:val="901"/>
        <w:pageBreakBefore w:val="false"/>
        <w:pBdr/>
        <w:spacing/>
        <w:ind/>
        <w:rPr/>
      </w:pPr>
      <w:r>
        <w:rPr>
          <w:rFonts w:ascii="Calibri" w:hAnsi="Calibri" w:eastAsia="Calibri" w:cs="Calibri"/>
          <w:i/>
          <w:iCs/>
          <w:color w:val="5a5a5a"/>
          <w:sz w:val="26"/>
          <w:szCs w:val="26"/>
          <w:rtl w:val="0"/>
        </w:rPr>
        <w:t xml:space="preserve">по автоматизации тестирования TeamCity</w:t>
      </w:r>
      <w:r>
        <w:rPr>
          <w:rtl w:val="0"/>
        </w:rPr>
      </w:r>
      <w:r/>
    </w:p>
    <w:p w14:paraId="00000003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color w:val="505050"/>
          <w:sz w:val="22"/>
          <w:szCs w:val="22"/>
          <w:rtl w:val="0"/>
        </w:rPr>
        <w:t xml:space="preserve">Версия плана: 1.1</w:t>
        <w:br/>
        <w:t xml:space="preserve">Дата: 30.06.2026</w:t>
        <w:br/>
      </w:r>
      <w:r>
        <w:rPr>
          <w:rtl w:val="0"/>
        </w:rPr>
      </w:r>
      <w:r/>
    </w:p>
    <w:p w14:paraId="00000004">
      <w:pPr>
        <w:pStyle w:val="894"/>
        <w:keepNext w:val="true"/>
        <w:pageBreakBefore w:val="false"/>
        <w:pBdr/>
        <w:spacing w:after="120" w:before="240"/>
        <w:ind/>
        <w:rPr/>
      </w:pPr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Содержание</w:t>
      </w:r>
      <w:r>
        <w:rPr>
          <w:rtl w:val="0"/>
        </w:rPr>
      </w:r>
      <w:r/>
    </w:p>
    <w:p w14:paraId="00000005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1" w:anchor="toc_sec_01" w:history="1">
        <w:r>
          <w:rPr>
            <w:color w:val="0563c1"/>
            <w:u w:val="single"/>
          </w:rPr>
          <w:t xml:space="preserve">Исходные условия проекта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6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2" w:anchor="toc_sec_02" w:history="1">
        <w:r>
          <w:rPr>
            <w:color w:val="0563c1"/>
            <w:u w:val="single"/>
          </w:rPr>
          <w:t xml:space="preserve">Цель плана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7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3" w:anchor="toc_sec_03" w:history="1">
        <w:r>
          <w:rPr>
            <w:color w:val="0563c1"/>
            <w:u w:val="single"/>
          </w:rPr>
          <w:t xml:space="preserve">Метрики продукта и автоматизации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8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4" w:anchor="toc_sec_04" w:history="1">
        <w:r>
          <w:rPr>
            <w:color w:val="0563c1"/>
            <w:u w:val="single"/>
          </w:rPr>
          <w:t xml:space="preserve">Аспекты качества продукта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9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5" w:anchor="toc_sec_05" w:history="1">
        <w:r>
          <w:rPr>
            <w:color w:val="0563c1"/>
            <w:u w:val="single"/>
          </w:rPr>
          <w:t xml:space="preserve">Виды и уровни тестирования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A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6" w:anchor="toc_sec_06" w:history="1">
        <w:r>
          <w:rPr>
            <w:color w:val="0563c1"/>
            <w:u w:val="single"/>
          </w:rPr>
          <w:t xml:space="preserve">Стек автоматизации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B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7" w:anchor="toc_sec_07" w:history="1">
        <w:r>
          <w:rPr>
            <w:color w:val="0563c1"/>
            <w:u w:val="single"/>
          </w:rPr>
          <w:t xml:space="preserve">Тестовое окружение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C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8" w:anchor="toc_sec_08" w:history="1">
        <w:r>
          <w:rPr>
            <w:color w:val="0563c1"/>
            <w:u w:val="single"/>
          </w:rPr>
          <w:t xml:space="preserve">Критичный MVP-сценарий автоматизации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D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09" w:anchor="toc_sec_09" w:history="1">
        <w:r>
          <w:rPr>
            <w:color w:val="0563c1"/>
            <w:u w:val="single"/>
          </w:rPr>
          <w:t xml:space="preserve">UI Automation Scope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E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0" w:anchor="toc_sec_10" w:history="1">
        <w:r>
          <w:rPr>
            <w:color w:val="0563c1"/>
            <w:u w:val="single"/>
          </w:rPr>
          <w:t xml:space="preserve">Стратегия тестовых данных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F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1" w:anchor="toc_sec_11" w:history="1">
        <w:r>
          <w:rPr>
            <w:color w:val="0563c1"/>
            <w:u w:val="single"/>
          </w:rPr>
          <w:t xml:space="preserve">Тестовые сценарии и скоуп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0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2" w:anchor="toc_sec_12" w:history="1">
        <w:r>
          <w:rPr>
            <w:color w:val="0563c1"/>
            <w:u w:val="single"/>
          </w:rPr>
          <w:t xml:space="preserve">Поэтапный план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1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3" w:anchor="toc_sec_13" w:history="1">
        <w:r>
          <w:rPr>
            <w:color w:val="0563c1"/>
            <w:u w:val="single"/>
          </w:rPr>
          <w:t xml:space="preserve">Необходимые ресурсы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2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4" w:anchor="toc_sec_14" w:history="1">
        <w:r>
          <w:rPr>
            <w:color w:val="0563c1"/>
            <w:u w:val="single"/>
          </w:rPr>
          <w:t xml:space="preserve">Распределение работ в команде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3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5" w:anchor="toc_sec_15" w:history="1">
        <w:r>
          <w:rPr>
            <w:color w:val="0563c1"/>
            <w:u w:val="single"/>
          </w:rPr>
          <w:t xml:space="preserve">Риски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4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6" w:anchor="toc_sec_16" w:history="1">
        <w:r>
          <w:rPr>
            <w:color w:val="0563c1"/>
            <w:u w:val="single"/>
          </w:rPr>
          <w:t xml:space="preserve">Отслеживание процесса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5">
      <w:pPr>
        <w:keepNext w:val="false"/>
        <w:keepLines w:val="false"/>
        <w:pageBreakBefore w:val="false"/>
        <w:widowControl w:val="true"/>
        <w:numPr>
          <w:ilvl w:val="0"/>
          <w:numId w:val="2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1080"/>
        <w:jc w:val="left"/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/>
      <w:hyperlink w:tooltip="#toc_sec_17" w:anchor="toc_sec_17" w:history="1">
        <w:r>
          <w:rPr>
            <w:color w:val="0563c1"/>
            <w:u w:val="single"/>
          </w:rPr>
          <w:t xml:space="preserve">Структура команды тестирования (нет информации о ФИО и контактах)</w:t>
        </w:r>
      </w:hyperlink>
      <w:r/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C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1" w:name="toc_sec_01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Исходные условия проекта</w:t>
      </w:r>
      <w:r>
        <w:rPr>
          <w:rtl w:val="0"/>
        </w:rPr>
      </w:r>
      <w:bookmarkEnd w:id="1001"/>
      <w:r/>
      <w:r/>
    </w:p>
    <w:tbl>
      <w:tblPr>
        <w:tblStyle w:val="902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Параметр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Решение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1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Команда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3 QA Automation Engineers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Состояние тестов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/>
                <w:sz w:val="19"/>
              </w:rPr>
              <w:t>У TeamCity есть unit tests на стороне продукта, но в зоне нашего проекта нет готовых ручных тест-кейсов и нет готового UI/API/E2E автотестового suite.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Продукт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On-Premises, локальный запуск через Docker Compose.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Целевая версия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2026.1.1, build 222577. Целевая версия выбрана как закрепленный bug-fix релиз ветки 2026.1: она стабильнее базового 2026.1, не меняется автоматически как latest и делает результаты автотестов воспроизводимыми.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Agent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Полный образ jetbrains/teamcity-agent:2026.1.1; minimal-agent не используем как основной.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Локальная база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Internal database / HSQLDB для быстрого локального старта.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CI-подход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C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Fast CI на internal HSQLDB, production-like CI на PostgreSQL, compatibility smoke на остальных поддерживаемых БД.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Test Management System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2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информации: конкретная TMS не выбрана.</w:t>
            </w:r>
            <w:r>
              <w:rPr>
                <w:rtl w:val="0"/>
              </w:rPr>
            </w:r>
            <w:r/>
          </w:p>
        </w:tc>
      </w:tr>
    </w:tbl>
    <w:p w14:paraId="0000002F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16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2" w:name="toc_sec_02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Цель плана</w:t>
      </w:r>
      <w:r>
        <w:rPr>
          <w:rtl w:val="0"/>
        </w:rPr>
      </w:r>
      <w:bookmarkEnd w:id="1002"/>
      <w:r/>
      <w:r/>
    </w:p>
    <w:p w14:paraId="00000017">
      <w:pPr>
        <w:pageBreakBefore w:val="false"/>
        <w:pBdr/>
        <w:spacing w:after="120" w:line="259" w:lineRule="auto"/>
        <w:ind/>
        <w:rPr/>
      </w:pPr>
      <w:r>
        <w:rPr>
          <w:rFonts w:ascii="Calibri" w:hAnsi="Calibri"/>
        </w:rPr>
        <w:t>Цель тест-плана — определить стратегию автоматизации TeamCity с нуля для команды из трех QA Automation Engineers. На старте проекта отсутствуют готовые ручные тест-кейсы и готовый UI/API/E2E suite; существующие unit tests продукта не входят в наш black-box scope. Первый этап должен дать быстрый, демонстрируемый результат и одновременно заложить основу для расширения покрытия.</w:t>
      </w:r>
    </w:p>
    <w:p w14:paraId="0000001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Сконцентрироваться на наиболее критичной функциональности продукта.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/>
          <w:sz w:val="22"/>
        </w:rPr>
        <w:t>Покрыть сквозной жизненный цикл TeamCity: первый запуск, администратор, роли и права доступа, agent, project, build configuration, build run.</w:t>
      </w:r>
    </w:p>
    <w:p w14:paraId="0000001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Разделить UI и API автоматизацию так, чтобы UI проверял только критичные пользовательские flows, а API давал стабильное и быстрое покрытие.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Подготовить pipeline, который поднимает стенд и запускает автотесты воспроизводимо.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0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3" w:name="toc_sec_03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Метрики продукта и автоматизации</w:t>
      </w:r>
      <w:r>
        <w:rPr>
          <w:rtl w:val="0"/>
        </w:rPr>
      </w:r>
      <w:bookmarkEnd w:id="1003"/>
      <w:r/>
      <w:r/>
    </w:p>
    <w:p w14:paraId="00000031">
      <w:pPr>
        <w:pageBreakBefore w:val="false"/>
        <w:pBdr/>
        <w:spacing w:after="120" w:line="259" w:lineRule="auto"/>
        <w:ind/>
        <w:rPr/>
      </w:pPr>
      <w:r>
        <w:t xml:space="preserve">Цели тест-плана сразу переформулированы в измеримые метрики, чтобы было понятно, по каким критериям команда проверяет успешность автоматизации.</w:t>
      </w:r>
      <w:r/>
    </w:p>
    <w:tbl>
      <w:tblPr>
        <w:tblStyle w:val="903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15"/>
        <w:gridCol w:w="3313"/>
        <w:gridCol w:w="3264"/>
        <w:tblGridChange w:id="1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8"/>
              </w:rPr>
              <w:t xml:space="preserve">Цель тест-плана</w:t>
            </w: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8"/>
              </w:rPr>
              <w:t xml:space="preserve">Метрика</w:t>
            </w: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shd w:val="clear" w:color="auto" w:fill="f2f2f2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8"/>
              </w:rPr>
              <w:t xml:space="preserve">Целевое значение / критерий</w:t>
            </w:r>
            <w:r>
              <w:rPr>
                <w:rFonts w:ascii="Calibri" w:hAnsi="Calibri"/>
                <w:b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8"/>
              </w:rPr>
              <w:t xml:space="preserve">Сконцентрироваться на наиболее критичной функциональности продукта.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P0/P1 coverage</w:t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100% утвержденных P0/P1 сценариев покрыто автотестами: first start, admin, roles/permissions, agent, project, build configuration, build run, build result.</w:t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70E24A79">
            <w:pPr>
              <w:pBdr/>
              <w:shd w:val="clear" w:color="e6b9b8" w:themeColor="accent2" w:themeTint="66" w:fill="e6b9b8" w:themeFill="accent2" w:themeFillTint="66"/>
              <w:spacing w:after="0" w:line="252" w:lineRule="auto"/>
              <w:ind/>
              <w:rPr>
                <w:rFonts w:ascii="Calibri" w:hAnsi="Calibri"/>
                <w:sz w:val="19"/>
              </w:rPr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 xml:space="preserve">Оценить влияние автоматизации на delivery </w:t>
            </w: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00652664">
            <w:pPr>
              <w:pBdr/>
              <w:shd w:val="clear" w:color="e6b9b8" w:themeColor="accent2" w:themeTint="66" w:fill="e6b9b8" w:themeFill="accent2" w:themeFillTint="66"/>
              <w:spacing w:after="0" w:line="252" w:lineRule="auto"/>
              <w:ind/>
              <w:rPr>
                <w:rFonts w:ascii="Calibri" w:hAnsi="Calibri"/>
                <w:sz w:val="19"/>
              </w:rPr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  <w:t xml:space="preserve">Time To Market </w:t>
            </w: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0" w:type="auto"/>
            <w:vAlign w:val="center"/>
            <w:vMerge w:val="restart"/>
          </w:tcPr>
          <w:p w14:paraId="07C985EE">
            <w:pPr>
              <w:pBdr/>
              <w:shd w:val="clear" w:color="e6b9b8" w:themeColor="accent2" w:themeTint="66" w:fill="e6b9b8" w:themeFill="accent2" w:themeFillTint="66"/>
              <w:spacing w:after="0" w:line="252" w:lineRule="auto"/>
              <w:ind/>
              <w:rPr>
                <w:rFonts w:ascii="Calibri" w:hAnsi="Calibri"/>
                <w:sz w:val="19"/>
                <w:szCs w:val="19"/>
                <w14:ligatures w14:val="none"/>
              </w:rPr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  <w:szCs w:val="19"/>
              </w:rPr>
              <w:t xml:space="preserve">Ускорить на 20%</w:t>
            </w:r>
            <w:r>
              <w:rPr>
                <w:rFonts w:ascii="Calibri" w:hAnsi="Calibri"/>
                <w:sz w:val="18"/>
                <w:szCs w:val="19"/>
              </w:rPr>
              <w:t xml:space="preserve"> </w:t>
            </w:r>
            <w:r>
              <w:rPr>
                <w:rFonts w:ascii="Calibri" w:hAnsi="Calibri"/>
                <w:sz w:val="18"/>
                <w:szCs w:val="19"/>
              </w:rPr>
              <w:t xml:space="preserve">время доставки новой функциональности в продакшн версию продукта.</w:t>
            </w:r>
            <w:r>
              <w:rPr>
                <w:rFonts w:ascii="Calibri" w:hAnsi="Calibri"/>
                <w:sz w:val="18"/>
                <w:szCs w:val="19"/>
                <w:lang w:val="ru-RU"/>
              </w:rPr>
              <w:t xml:space="preserve"> – надо понять точно ли это нужная метрик </w:t>
            </w:r>
            <w:r>
              <w:rPr>
                <w:rFonts w:ascii="Calibri" w:hAnsi="Calibri"/>
                <w:sz w:val="18"/>
                <w:szCs w:val="19"/>
              </w:rPr>
            </w:r>
            <w:r>
              <w:rPr>
                <w:rFonts w:ascii="Calibri" w:hAnsi="Calibri"/>
                <w:sz w:val="18"/>
                <w:szCs w:val="19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8"/>
              </w:rPr>
              <w:t xml:space="preserve">Подготовить pipeline, который поднимает стенд и запускает автотесты воспроизводимо.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8"/>
              </w:rPr>
              <w:t xml:space="preserve">Pipeline readiness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8"/>
              </w:rPr>
              <w:t xml:space="preserve">К концу 4-й недели pipeline поднимает стенд, выполняет bootstrap, запускает UI/API suites и публикует отчет.</w:t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8"/>
              </w:rPr>
              <w:t xml:space="preserve">Быстро обнаруживать критичные поломки.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  <w:szCs w:val="19"/>
              </w:rPr>
              <w:t xml:space="preserve">Mean Time to Detect</w:t>
            </w: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>
                <w:rFonts w:ascii="Calibri" w:hAnsi="Calibri"/>
                <w:sz w:val="19"/>
                <w:szCs w:val="19"/>
                <w14:ligatures w14:val="none"/>
              </w:rPr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sz w:val="18"/>
                <w:szCs w:val="19"/>
              </w:rPr>
              <w:t xml:space="preserve">Уменьшить среднее время обнаружения ошибок до 2 часов для регрессионного тестирования. </w:t>
            </w:r>
            <w:r>
              <w:rPr>
                <w:rFonts w:ascii="Calibri" w:hAnsi="Calibri"/>
                <w:sz w:val="18"/>
                <w:szCs w:val="19"/>
              </w:rPr>
            </w:r>
            <w:r>
              <w:rPr>
                <w:rFonts w:ascii="Calibri" w:hAnsi="Calibri"/>
                <w:sz w:val="18"/>
                <w:szCs w:val="19"/>
                <w14:ligatures w14:val="none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8"/>
              </w:rPr>
              <w:t xml:space="preserve">Сохранять доверие к автотестам.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8"/>
              </w:rPr>
              <w:t xml:space="preserve">Pass Rate / Flaky Rate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8"/>
              </w:rPr>
              <w:t xml:space="preserve">Pass Rate &gt;= 95% на стабильном стенде; Flaky Rate &lt;= 3%.</w:t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8"/>
              </w:rPr>
              <w:t xml:space="preserve">Контролировать длительность быстрого smoke-прогона.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8"/>
              </w:rPr>
              <w:t xml:space="preserve">Smoke duration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80" w:type="dxa"/>
              <w:right w:w="100" w:type="dxa"/>
              <w:bottom w:w="80" w:type="dxa"/>
            </w:tcMar>
            <w:vAlign w:val="center"/>
          </w:tcPr>
          <w:p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8"/>
              </w:rPr>
              <w:t xml:space="preserve">&lt;= 20 минут для fast CI.</w:t>
            </w:r>
            <w:r>
              <w:rPr>
                <w:rFonts w:ascii="Calibri" w:hAnsi="Calibri"/>
                <w:sz w:val="18"/>
              </w:rPr>
            </w:r>
          </w:p>
        </w:tc>
      </w:tr>
    </w:tbl>
    <w:p w14:paraId="00000053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54">
      <w:pPr>
        <w:pStyle w:val="894"/>
        <w:keepNext w:val="true"/>
        <w:pageBreakBefore w:val="false"/>
        <w:pBdr/>
        <w:spacing w:after="120" w:before="240"/>
        <w:ind/>
        <w:rPr>
          <w:highlight w:val="yellow"/>
        </w:rPr>
      </w:pPr>
      <w:r>
        <w:rPr>
          <w:highlight w:val="yellow"/>
        </w:rPr>
      </w:r>
      <w:bookmarkStart w:id="1004" w:name="toc_sec_04"/>
      <w:r>
        <w:rPr>
          <w:rFonts w:ascii="Calibri" w:hAnsi="Calibri" w:eastAsia="Calibri" w:cs="Calibri"/>
          <w:b/>
          <w:bCs/>
          <w:color w:val="2e74b5"/>
          <w:sz w:val="32"/>
          <w:szCs w:val="32"/>
          <w:highlight w:val="yellow"/>
          <w:rtl w:val="0"/>
        </w:rPr>
        <w:t xml:space="preserve">Аспекты качества продукта</w:t>
      </w:r>
      <w:r>
        <w:rPr>
          <w:highlight w:val="yellow"/>
          <w:rtl w:val="0"/>
        </w:rPr>
      </w:r>
      <w:bookmarkEnd w:id="1004"/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TODO</w:t>
      </w:r>
      <w:r>
        <w:rPr>
          <w:highlight w:val="yellow"/>
          <w:lang w:val="en-US"/>
        </w:rPr>
      </w:r>
      <w:r>
        <w:rPr>
          <w:highlight w:val="yellow"/>
        </w:rPr>
      </w:r>
    </w:p>
    <w:tbl>
      <w:tblPr>
        <w:tblStyle w:val="904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2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Аспект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Почему критично для TeamCity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5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Риск без покрытия</w:t>
            </w:r>
            <w:r>
              <w:rPr>
                <w:rtl w:val="0"/>
              </w:rPr>
            </w:r>
            <w:r/>
          </w:p>
        </w:tc>
      </w:tr>
    </w:tbl>
    <w:p w14:paraId="0000006D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6E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5" w:name="toc_sec_05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Виды и уровни тестирования</w:t>
      </w:r>
      <w:r>
        <w:rPr>
          <w:rtl w:val="0"/>
        </w:rPr>
      </w:r>
      <w:bookmarkEnd w:id="1005"/>
      <w:r/>
      <w:r/>
    </w:p>
    <w:tbl>
      <w:tblPr>
        <w:tblStyle w:val="905"/>
        <w:tblInd w:w="-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1300"/>
        <w:gridCol w:w="2150"/>
        <w:gridCol w:w="3450"/>
        <w:gridCol w:w="2460"/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6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6"/>
              </w:rPr>
              <w:t>Приоритет</w:t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7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6"/>
              </w:rPr>
              <w:t>Вид тестирования</w:t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7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b/>
                <w:sz w:val="16"/>
              </w:rPr>
              <w:t>Решение для проекта</w:t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2F2F2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sz w:val="16"/>
              </w:rPr>
              <w:t>Кто отвечает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7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P0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7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E2E Smoke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7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Критичный путь от первого запуска до успешного build.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6"/>
              </w:rPr>
              <w:t>Вся команда; интегратор недели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7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P0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7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API Testing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7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Project, build configuration, build run, build status, server readiness.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6"/>
              </w:rPr>
              <w:t>QA Automation Engineers, по API-сущностям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7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P0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7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UI Testing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7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Только критичные flows: setup wizard, first admin, agent authorization.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6"/>
              </w:rPr>
              <w:t>QA Automation Engineers, по UI-flow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6"/>
              </w:rPr>
              <w:t>P1</w:t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6"/>
              </w:rPr>
              <w:t>Roles / Permissions Testing</w:t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6"/>
              </w:rPr>
              <w:t>Критичные проверки прав: admin имеет полный доступ; ограниченный пользователь не может выполнять admin/build/agent действия вне разрешений.</w:t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6"/>
              </w:rPr>
              <w:t>QA Automation Engineers, по ролям и правам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7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P1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7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Bootstrap / Installability Testing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7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Headless-подготовка стенда для CI без ручного UI.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6"/>
              </w:rPr>
              <w:t>Вся команда; bootstrap-owner недели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7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P1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7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Integration Testing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8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Связка Server + Agent + REST API + build lifecycle.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6"/>
              </w:rPr>
              <w:t>Вся команда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8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P1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8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Database Compatibility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8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Smoke с PostgreSQL, MySQL, MariaDB, MS SQL Server, Oracle.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6"/>
              </w:rPr>
              <w:t>QA Automation Engineers, по ротации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8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P2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8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Regression Testing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8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Расширение после стабилизации MVP-покрытия.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6"/>
              </w:rPr>
              <w:t>Вся команда после MVP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8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P2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8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Security Testing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6"/>
              </w:rPr>
              <w:t>Минимально: login, token usage, agent authorization; полный security scope не описан.</w:t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6"/>
              </w:rPr>
              <w:t>QA Automation Engineers; scope уточняется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8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Out of Scope на старте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8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Unit Testing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8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6"/>
              </w:rPr>
              <w:t>Unit tests продукта существуют, но не входят в scope команды на старте; проект проверяет TeamCity как black-box через UI/API/E2E.</w:t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6"/>
              </w:rPr>
              <w:t>Команда продукта; вне scope проекта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1300" w:type="dxa"/>
          </w:tcPr>
          <w:p w14:paraId="0000008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Out of Scope на старте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2150" w:type="dxa"/>
          </w:tcPr>
          <w:p w14:paraId="0000008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Performance/Load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  <w:start w:w="90" w:type="dxa"/>
              <w:end w:w="90" w:type="dxa"/>
            </w:tcMar>
            <w:vAlign w:val="center"/>
            <w:tcW w:w="3450" w:type="dxa"/>
          </w:tcPr>
          <w:p w14:paraId="0000008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6"/>
                <w:szCs w:val="19"/>
                <w:rtl w:val="0"/>
              </w:rPr>
              <w:t xml:space="preserve">Не входит в первые 4 недели, кроме базового контроля длительности smoke.</w:t>
            </w:r>
            <w:r>
              <w:rPr>
                <w:rFonts w:ascii="Calibri" w:hAnsi="Calibri"/>
                <w:sz w:val="16"/>
                <w:rtl w:val="0"/>
              </w:rPr>
            </w:r>
            <w:r>
              <w:rPr>
                <w:rFonts w:ascii="Calibri" w:hAnsi="Calibri"/>
                <w:sz w:val="16"/>
              </w:rPr>
            </w:r>
          </w:p>
        </w:tc>
        <w:tc>
          <w:tcPr>
            <w:tcW w:type="dxa" w:w="2460"/>
            <w:tcMar>
              <w:top w:w="80" w:type="dxa"/>
              <w:start w:w="90" w:type="dxa"/>
              <w:bottom w:w="80" w:type="dxa"/>
              <w:end w:w="90" w:type="dxa"/>
            </w:tcMar>
            <w:shd w:fill="FFFFFF"/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6"/>
              </w:rPr>
              <w:t>Не назначается на первые 4 недели</w:t>
            </w:r>
          </w:p>
        </w:tc>
      </w:tr>
    </w:tbl>
    <w:p w14:paraId="00000090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91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6" w:name="toc_sec_06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Стек автоматизации</w:t>
      </w:r>
      <w:r>
        <w:rPr>
          <w:rtl w:val="0"/>
        </w:rPr>
      </w:r>
      <w:bookmarkEnd w:id="1006"/>
      <w:r/>
      <w:r/>
    </w:p>
    <w:tbl>
      <w:tblPr>
        <w:tblStyle w:val="906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4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Компонент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Выбор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Обоснование / статус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Язык программирования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Python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Команда пишет автотесты на Python; подходит для Pytest, API и Playwright.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 automation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Playwright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Используется для критичных UI flows: setup wizard, first admin, agent authorization и базовые role-based UI checks.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 automation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Pytest + HTTP client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Pytest зафиксирован как подход; конкретная HTTP-библиотека не выбрана, можно использовать requests/httpx; API также покрывает negative permission checks.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Containerization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9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Docker Compose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Локальный TeamCity Server + full Agent запускаются через compose.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CI/CD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информации о конкретной CI-платформе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Нужен pipeline для bootstrap, readiness checks, UI/API suites и отчетности.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Test reports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информации о финальном инструменте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Минимум: pass/fail, duration, logs, screenshots для UI; Allure/JUnit можно выбрать отдельно.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TMS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информации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Система хранения ручных тест-кейсов и связь с автотестами не выбраны.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</w:tbl>
    <w:p w14:paraId="000000AA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AB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7" w:name="toc_sec_07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Тестовое окружение</w:t>
      </w:r>
      <w:r>
        <w:rPr>
          <w:rtl w:val="0"/>
        </w:rPr>
      </w:r>
      <w:bookmarkEnd w:id="1007"/>
      <w:r/>
      <w:r/>
    </w:p>
    <w:p w14:paraId="000000AC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Тестирование проводится в локальном Docker-окружении. Production окружение не используется для автоматизированного тестирования.</w:t>
      </w:r>
      <w:r>
        <w:rPr>
          <w:rtl w:val="0"/>
        </w:rPr>
      </w:r>
      <w:r/>
    </w:p>
    <w:tbl>
      <w:tblPr>
        <w:tblStyle w:val="907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5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Окружение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Состав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A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Назначение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0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Local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1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Server + full Agent + Internal HSQLDB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2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Изучение продукта, ручная проверка setup wizard, разработка первых тестов.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3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Fast CI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Server + full Agent + Internal HSQLDB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Быстрый запуск P0/P1 автотестов на PR.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Production-like CI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TeamCity Server + full Agent + PostgreSQL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Проверка внешней БД и близкого к production сценария.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DB Compatibility Nightly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Server + full Agent + MySQL/MariaDB/MS SQL/Oracle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B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Smoke-проверка совместимости с поддерживаемыми database backends.</w:t>
            </w:r>
            <w:r>
              <w:rPr>
                <w:rtl w:val="0"/>
              </w:rPr>
            </w:r>
            <w:r/>
          </w:p>
        </w:tc>
      </w:tr>
    </w:tbl>
    <w:p w14:paraId="000000BC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BD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Архитектура локального стенда:</w:t>
      </w:r>
      <w:r>
        <w:rPr>
          <w:rtl w:val="0"/>
        </w:rPr>
      </w:r>
      <w:r/>
    </w:p>
    <w:p w14:paraId="000000BE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Browser -&gt; TeamCity Server на http://localhost:8111.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BF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TeamCity Server -&gt; TeamCity Agent через Docker network и SERVER_URL=http://teamcity-server:8111.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C0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TeamCity Server хранит локальное состояние в teamcity-local/teamcity-data/ и логи в teamcity-local/teamcity-logs/.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C1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Agent хранит конфигурацию, workdir, system/cache/temp/tools/plugins внутри teamcity-local/teamcity-agent-*.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C2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8" w:name="toc_sec_08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Критичный MVP-сценарий автоматизации</w:t>
      </w:r>
      <w:r>
        <w:rPr>
          <w:rtl w:val="0"/>
        </w:rPr>
      </w:r>
      <w:bookmarkEnd w:id="1008"/>
      <w:r/>
      <w:r/>
    </w:p>
    <w:p w14:paraId="000000C3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Первый автоматизированный результат должен доказывать, что TeamCity поднимается и выполняет базовую продуктовую ценность: принимает настройки, подключает agent, создает конфигурацию и запускает build.</w:t>
      </w:r>
      <w:r>
        <w:rPr>
          <w:rtl w:val="0"/>
        </w:rPr>
      </w:r>
      <w:r/>
    </w:p>
    <w:tbl>
      <w:tblPr>
        <w:tblStyle w:val="908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6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Шаг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Ожидаемый результат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Тип проверки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Поднять TeamCity Server и full Agent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Контейнеры запущены, сервер доступен на 8111.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Docker/Bootstrap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Пройти startup confirmation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TeamCity принимает первый запуск с новым data directory.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Выбрать Internal database / HSQLDB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Локальный стенд проходит database setup.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C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Создать первого администратора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Admin создан, возможен login.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Проверить базовые роли и права доступа</w:t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Admin выполняет критичные admin-действия; ограниченный пользователь не получает доступ к запрещенным действиям.</w:t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UI/API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Авторизовать local-agent-1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Agent переходит из Unauthorized в Connected/Idle.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UI/API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Создать project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Project появляется в TeamCity.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Создать build configuration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Build configuration создана и готова к запуску.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Запустить простой build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Build стартует на agent и завершается ожидаемым статусом.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API/E2E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D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Проверить build result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Статус build доступен через REST API и UI.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API/UI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</w:tbl>
    <w:p w14:paraId="000000E2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E3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09" w:name="toc_sec_09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UI Automation Scope</w:t>
      </w:r>
      <w:r>
        <w:rPr>
          <w:rtl w:val="0"/>
        </w:rPr>
      </w:r>
      <w:bookmarkEnd w:id="1009"/>
      <w:r/>
      <w:r/>
    </w:p>
    <w:p w14:paraId="000000E4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UI автоматизация покрывает только пользовательские flows, которые невозможно надежно заменить API </w:t>
      </w:r>
      <w:r>
        <w:rPr>
          <w:rFonts w:ascii="Calibri" w:hAnsi="Calibri" w:eastAsia="Calibri" w:cs="Calibri"/>
          <w:sz w:val="22"/>
          <w:szCs w:val="22"/>
          <w:rtl w:val="0"/>
        </w:rPr>
        <w:t xml:space="preserve">на первом этапе: startup confirmation, database setup, создание первого администратора, login и authorization первого agent. Детальная подготовка данных, создание project/build configuration, запуск build и проверка статусов выполняются на уровне REST API.</w:t>
      </w:r>
      <w:r>
        <w:rPr>
          <w:rtl w:val="0"/>
        </w:rPr>
      </w:r>
      <w:r/>
    </w:p>
    <w:p w14:paraId="000000E5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0" w:name="toc_sec_10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Стратегия тестовых данных</w:t>
      </w:r>
      <w:r>
        <w:rPr>
          <w:rtl w:val="0"/>
        </w:rPr>
      </w:r>
      <w:bookmarkEnd w:id="1010"/>
      <w:r/>
      <w:r/>
    </w:p>
    <w:p w14:paraId="000000E6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Цель стратегии тестовых данных — обеспечить стабильные, воспроизводимые и безопасные данные для UI, API и E2E тестирования TeamCity.</w:t>
      </w:r>
      <w:r>
        <w:rPr>
          <w:rtl w:val="0"/>
        </w:rPr>
      </w:r>
      <w:r/>
    </w:p>
    <w:p w14:paraId="000000E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Для каждого теста создавать уникальные project/build configuration names с префиксом автотестов.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Основная подготовка данных выполняется через REST API, UI используется только там, где проверяется сам пользовательский flow.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Cleanup выполнять через REST API либо полным reset окружения в Docker.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Не хранить реальные секреты, пароли и access tokens в репозитории.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Для CI использовать временные credentials из переменных окружения.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EC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Прямой доступ к базе данных использовать только для отладки; основная валидация выполняется через REST API и UI.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tbl>
      <w:tblPr>
        <w:tblStyle w:val="909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4896"/>
        <w:gridCol w:w="4896"/>
        <w:tblGridChange w:id="7">
          <w:tblGrid>
            <w:gridCol w:w="4896"/>
            <w:gridCol w:w="4896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Тип теста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Источник данных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E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 Smoke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Setup wizard + минимальные данные, созданные в самом UI flow.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 Tests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API-generated projects, build configurations, builds, tokens.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E2E Tests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Комбинация UI bootstrap + API setup + Docker reset/cleanup.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Database compatibility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информации о финальном наборе seed data для внешних БД.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Roles / Permissions</w:t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Admin user + ограниченные test users; финальная матрица ролей уточняется TODO.</w:t>
            </w:r>
          </w:p>
        </w:tc>
      </w:tr>
    </w:tbl>
    <w:p w14:paraId="000000F7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0F8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1" w:name="toc_sec_11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Тестовые сценарии и скоуп</w:t>
      </w:r>
      <w:r>
        <w:rPr>
          <w:rtl w:val="0"/>
        </w:rPr>
      </w:r>
      <w:bookmarkEnd w:id="1011"/>
      <w:r/>
      <w:r/>
    </w:p>
    <w:tbl>
      <w:tblPr>
        <w:tblStyle w:val="910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8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Группа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In Scope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Out of Scope на первые 4 недели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Initial Setup / First Admin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Startup confirmation, выбор HSQLDB, создание admin, login.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Все нестандартные enterprise auth flows.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Roles / Permissions</w:t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Admin full access, ограниченный пользователь, negative checks для project, build configuration, build run и agent authorization.</w:t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Полная матрица всех ролей, групп и enterprise auth flows.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0F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Agent Management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Unauthorized agent, authorization, connected/idle state.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Сложные agent pools, cloud agents, масштабирование agents.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Core REST API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Server info, projects, build configurations, builds, statuses.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Полное покрытие всех REST endpoints.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Build Execution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Простой build, success/failure status, logs.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Все runners и plugin-specific behavior.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Database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HSQLDB fast path, PostgreSQL production-like smoke.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Полный regression на каждой БД.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CI Pipeline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Поднять стенд, bootstrap, запустить suites, собрать отчет.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Полная release инфраструктура и production deployment.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0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Security / Authorization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Admin login, token usage, agent authorization; RBAC вынесен в отдельную группу.</w:t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Полный pentest/security audit.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Ссылка на тест-кейсы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информации.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TMS или файл с ручными тест-кейсами пока не указан.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</w:tbl>
    <w:p w14:paraId="00000114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15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2" w:name="toc_sec_12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Поэтапный план</w:t>
      </w:r>
      <w:r>
        <w:rPr>
          <w:rtl w:val="0"/>
        </w:rPr>
      </w:r>
      <w:bookmarkEnd w:id="1012"/>
      <w:r/>
      <w:r/>
    </w:p>
    <w:tbl>
      <w:tblPr>
        <w:tblStyle w:val="911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9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Неделя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Фокус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Результат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1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Ручные сценарии, тест-дизайн, тестируемость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Описаны P0/P1 сценарии: setup, first admin, roles/permissions, agent, project, build configuration, build run, REST checks. Зафиксированы риски и TODO.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2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 автотесты + базовый framework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Автоматизирован критичный UI flow: startup confirmation, database selection, first admin, login, agent authorization, базовые role-based UI checks.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1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3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API автотесты + build lifecycle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Автоматизированы REST API сценарии: server readiness, project, build configuration, run build, build status, permission negative checks, cleanup.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4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Pipeline, bootstrap, отчеты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Собран CI flow: поднятие стенда, bootstrap, запуск UI/API suites, отчетность и стабилизация.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</w:tbl>
    <w:p w14:paraId="00000125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26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3" w:name="toc_sec_13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Необходимые ресурсы</w:t>
      </w:r>
      <w:r>
        <w:rPr>
          <w:rtl w:val="0"/>
        </w:rPr>
      </w:r>
      <w:bookmarkEnd w:id="1013"/>
      <w:r/>
      <w:r/>
    </w:p>
    <w:tbl>
      <w:tblPr>
        <w:tblStyle w:val="912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10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Задача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Ответственный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Ожидание / статус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Настройка CI/CD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QA Automation Engineer / DevOps: нет информации по конкретному владельцу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Готов pipeline для bootstrap, запуска suites, публикации результатов и артефактов.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Документирование тест-кейсов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QA Automation Engineers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2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P0/P1 сценарии расписаны до автоматизации; TMS не выбрана.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Создание framework автоматизации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QA Automation Engineers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Единая структура Pytest/Playwright, фикстуры, cleanup, логирование, отчетность.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Доступы и credentials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информации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Нужны временные credentials/token для admin и ограниченных test users через переменные окружения CI.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Настройка отчетности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QA Automation Engineer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Инструмент отчетности не выбран; минимум нужны pass/fail, duration, logs, UI screenshots.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Code Coverage / Quality Gate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информации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/>
                <w:sz w:val="18"/>
              </w:rPr>
              <w:t>Unit tests существуют на стороне продукта, но исходный код и их coverage вне зоны проекта; для нашего black-box scope quality gate оценивается по P0/P1 UI/API/E2E pass rate.</w:t>
            </w:r>
          </w:p>
        </w:tc>
      </w:tr>
    </w:tbl>
    <w:p w14:paraId="0000013C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3D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4" w:name="toc_sec_14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Распределение работ в команде</w:t>
      </w:r>
      <w:r>
        <w:rPr>
          <w:rtl w:val="0"/>
        </w:rPr>
      </w:r>
      <w:bookmarkEnd w:id="1014"/>
      <w:r/>
      <w:r/>
    </w:p>
    <w:p w14:paraId="0000013E">
      <w:pPr>
        <w:pageBreakBefore w:val="false"/>
        <w:pBdr/>
        <w:spacing w:after="120" w:line="259" w:lineRule="auto"/>
        <w:ind/>
        <w:rPr/>
      </w:pPr>
      <w:r>
        <w:rPr>
          <w:rFonts w:ascii="Calibri" w:hAnsi="Calibri" w:eastAsia="Calibri" w:cs="Calibri"/>
          <w:sz w:val="22"/>
          <w:szCs w:val="22"/>
          <w:rtl w:val="0"/>
        </w:rPr>
        <w:t xml:space="preserve">Постоянные роли QA Automation 1/2/3 не закрепляются: на каждом этапе задачи дробятся и распределяются между всеми участниками равномерно; роль интегратора и ревьюера ротируется.</w:t>
      </w:r>
      <w:r>
        <w:rPr>
          <w:rtl w:val="0"/>
        </w:rPr>
      </w:r>
      <w:r/>
    </w:p>
    <w:tbl>
      <w:tblPr>
        <w:tblStyle w:val="913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11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3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Этап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Фокус работ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Равномерное распределение внутри команды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Неделя 1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Ручные сценарии и тест-дизайн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Все 3 QA делят P0/P1 сценарии по частям: setup/admin, roles/permissions, agent, API/build lifecycle, bootstrap. Каждый описывает свою часть и участвует в общем review scope.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Неделя 2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 smoke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Playwright-задачи распределяются между участниками по сценариям; общий результат — startup confirmation, HSQLDB setup, first admin, login, agent authorization.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Неделя 3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REST API + build lifecycle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Pytest/API задачи делятся поровну по сущностям и flow: server readiness, project, build configuration, build run, status, role/permission negative checks, cleanup.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Неделя 4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Docker / Bootstrap / Pipeline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4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Pipeline-задачи распределяются поровну: compose/bootstrap, readiness checks, запуск UI/API suites, отчеты и стабилизация.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</w:tbl>
    <w:p w14:paraId="0000014E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4F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5" w:name="toc_sec_15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Риски</w:t>
      </w:r>
      <w:r>
        <w:rPr>
          <w:rtl w:val="0"/>
        </w:rPr>
      </w:r>
      <w:bookmarkEnd w:id="1015"/>
      <w:r/>
      <w:r/>
    </w:p>
    <w:tbl>
      <w:tblPr>
        <w:tblStyle w:val="914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12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Риск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Влияние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8"/>
                <w:szCs w:val="19"/>
                <w:rtl w:val="0"/>
              </w:rPr>
              <w:t xml:space="preserve">Как минимизировать</w:t>
            </w:r>
            <w:r>
              <w:rPr>
                <w:rFonts w:ascii="Calibri" w:hAnsi="Calibri"/>
                <w:b/>
                <w:sz w:val="18"/>
                <w:rtl w:val="0"/>
              </w:rPr>
            </w:r>
            <w:r>
              <w:rPr>
                <w:rFonts w:ascii="Calibri" w:hAnsi="Calibri"/>
                <w:b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Startup confirmation блокирует CI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Pipeline не сможет поднять TeamCity с нуля.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Сделать bootstrap-скрипт и отдельный suite Initial Setup.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 setup wizard нестабилен для автоматизации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UI-тесты будут flaky.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UI покрывает только P0 flow, остальное переносится в API.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Agent не авторизуется автоматически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Build не сможет стартовать.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B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Проверять Unauthorized state и автоматизировать authorization шаг.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C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Долгий первый download Docker images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D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CI и локальный старт занимают много времени.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E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Кешировать Docker layers, фиксировать версии образов.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5F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Различия database backends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0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Ошибки с внешними БД появятся поздно.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1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Ввести nightly compatibility smoke по поддерживаемым БД.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2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Нет существующих ручных сценариев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3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Команда может автоматизировать не тот scope.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4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Неделя 1 выделена на тест-дизайн и P0/P1 приоритизацию.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5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Слишком широкий стартовый scope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6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Команда не покажет результат за 4 недели.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7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Сначала автоматизировать один критичный E2E path, затем расширяться.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Ролевые ограничения не проверены</w:t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Пользователь с ограниченной ролью может получить лишний доступ к критичным действиям.</w:t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sz w:val="18"/>
              </w:rPr>
              <w:t>Добавить P1 Roles / Permissions suite с positive admin checks и negative checks для ограниченных пользователей.</w:t>
            </w:r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8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Недостаточная наблюдаемость падений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9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Падения автотестов будет сложно анализировать.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6A">
            <w:pPr>
              <w:pBdr/>
              <w:spacing w:after="0" w:line="252" w:lineRule="auto"/>
              <w:ind/>
              <w:rPr/>
            </w:pPr>
            <w:r>
              <w:rPr>
                <w:rFonts w:ascii="Calibri" w:hAnsi="Calibri" w:eastAsia="Calibri" w:cs="Calibri"/>
                <w:sz w:val="18"/>
                <w:szCs w:val="19"/>
                <w:rtl w:val="0"/>
              </w:rPr>
              <w:t xml:space="preserve">Собирать логи TeamCity, REST responses, screenshots/video для UI и build logs.</w:t>
            </w:r>
            <w:r>
              <w:rPr>
                <w:rFonts w:ascii="Calibri" w:hAnsi="Calibri"/>
                <w:sz w:val="18"/>
                <w:rtl w:val="0"/>
              </w:rPr>
            </w:r>
            <w:r>
              <w:rPr>
                <w:rFonts w:ascii="Calibri" w:hAnsi="Calibri"/>
                <w:sz w:val="18"/>
              </w:rPr>
            </w:r>
          </w:p>
        </w:tc>
      </w:tr>
    </w:tbl>
    <w:p w14:paraId="0000016B">
      <w:pPr>
        <w:pageBreakBefore w:val="false"/>
        <w:pBdr/>
        <w:spacing/>
        <w:ind/>
        <w:rPr/>
      </w:pPr>
      <w:r>
        <w:rPr>
          <w:rtl w:val="0"/>
        </w:rPr>
      </w:r>
      <w:r/>
    </w:p>
    <w:p w14:paraId="0000016C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6" w:name="toc_sec_16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Отслеживание процесса</w:t>
      </w:r>
      <w:r>
        <w:rPr>
          <w:rtl w:val="0"/>
        </w:rPr>
      </w:r>
      <w:bookmarkEnd w:id="1016"/>
      <w:r/>
      <w:r/>
    </w:p>
    <w:p w14:paraId="0000016D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Еженедельный demo-результат по завершенной части flow.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16E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Единый backlog сценариев с приоритетами P0/P1/P2.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16F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Отчетность автотестов в CI: pass/fail, duration, flaky failures, логи и screenshots для UI.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170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Definition of Done для теста: стабилен локально, стабилен в CI, имеет cleanup, понятное имя и отчет при падении.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171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Митинг для статуса: нет информации о конкретном формате; рекомендуется синхронизация по итогам недели.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172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120" w:before="0" w:line="259" w:lineRule="auto"/>
        <w:ind w:right="0" w:hanging="360" w:left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Канал информирования: нет информации.</w:t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173">
      <w:pPr>
        <w:pStyle w:val="894"/>
        <w:keepNext w:val="true"/>
        <w:pageBreakBefore w:val="false"/>
        <w:pBdr/>
        <w:spacing w:after="120" w:before="240"/>
        <w:ind/>
        <w:rPr/>
      </w:pPr>
      <w:r/>
      <w:bookmarkStart w:id="1017" w:name="toc_sec_17"/>
      <w:r>
        <w:rPr>
          <w:rFonts w:ascii="Calibri" w:hAnsi="Calibri" w:eastAsia="Calibri" w:cs="Calibri"/>
          <w:b/>
          <w:bCs/>
          <w:color w:val="2e74b5"/>
          <w:sz w:val="32"/>
          <w:szCs w:val="32"/>
          <w:rtl w:val="0"/>
        </w:rPr>
        <w:t xml:space="preserve">Структура команды тестирования (нет информации о ФИО и контактах)</w:t>
      </w:r>
      <w:r>
        <w:rPr>
          <w:rtl w:val="0"/>
        </w:rPr>
      </w:r>
      <w:bookmarkEnd w:id="1017"/>
      <w:r/>
      <w:r/>
    </w:p>
    <w:tbl>
      <w:tblPr>
        <w:tblStyle w:val="915"/>
        <w:tblInd w:w="-120" w:type="dxa"/>
        <w:tblW w:w="9792" w:type="dxa"/>
        <w:tblBorders/>
        <w:tblLayout w:type="fixed"/>
        <w:tblLook w:val="04A0" w:firstRow="1" w:lastRow="0" w:firstColumn="1" w:lastColumn="0" w:noHBand="0" w:noVBand="1"/>
      </w:tblPr>
      <w:tblGrid>
        <w:gridCol w:w="3264"/>
        <w:gridCol w:w="3264"/>
        <w:gridCol w:w="3264"/>
        <w:tblGridChange w:id="13">
          <w:tblGrid>
            <w:gridCol w:w="3264"/>
            <w:gridCol w:w="3264"/>
            <w:gridCol w:w="3264"/>
          </w:tblGrid>
        </w:tblGridChange>
      </w:tblGrid>
      <w:tr>
        <w:trPr>
          <w:cantSplit/>
          <w:tblHeader/>
        </w:trPr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4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Роль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5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Ответственность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2f2f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6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b/>
                <w:bCs/>
                <w:sz w:val="19"/>
                <w:szCs w:val="19"/>
                <w:rtl w:val="0"/>
              </w:rPr>
              <w:t xml:space="preserve">Контакты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7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 1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8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Равномерное участие в тест-дизайне, UI/API/bootstrap задачах.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9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A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 2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B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Равномерное участие в тест-дизайне, UI/API/bootstrap задачах.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C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</w:t>
            </w:r>
            <w:r>
              <w:rPr>
                <w:rtl w:val="0"/>
              </w:rPr>
            </w:r>
            <w:r/>
          </w:p>
        </w:tc>
      </w:tr>
      <w:tr>
        <w:trPr>
          <w:cantSplit/>
        </w:trPr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D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QA Automation Engineer 3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E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Равномерное участие в тест-дизайне, UI/API/bootstrap задачах.</w:t>
            </w:r>
            <w:r>
              <w:rPr>
                <w:rtl w:val="0"/>
              </w:rPr>
            </w:r>
            <w:r/>
          </w:p>
        </w:tc>
        <w:tc>
          <w:tcPr>
            <w:shd w:val="clear" w:color="auto" w:fill="ffffff"/>
            <w:tcBorders/>
            <w:tcMar>
              <w:left w:w="120" w:type="dxa"/>
              <w:top w:w="80" w:type="dxa"/>
              <w:right w:w="120" w:type="dxa"/>
              <w:bottom w:w="80" w:type="dxa"/>
            </w:tcMar>
            <w:vAlign w:val="center"/>
          </w:tcPr>
          <w:p w14:paraId="0000017F">
            <w:pPr>
              <w:pBdr/>
              <w:spacing w:after="0" w:line="259" w:lineRule="auto"/>
              <w:ind/>
              <w:rPr/>
            </w:pPr>
            <w:r>
              <w:rPr>
                <w:rFonts w:ascii="Calibri" w:hAnsi="Calibri" w:eastAsia="Calibri" w:cs="Calibri"/>
                <w:sz w:val="19"/>
                <w:szCs w:val="19"/>
                <w:rtl w:val="0"/>
              </w:rPr>
              <w:t xml:space="preserve">Нет информации</w:t>
            </w:r>
            <w:r>
              <w:rPr>
                <w:rtl w:val="0"/>
              </w:rPr>
            </w:r>
            <w:r/>
          </w:p>
        </w:tc>
      </w:tr>
    </w:tbl>
    <w:p w14:paraId="00000180">
      <w:pPr>
        <w:pageBreakBefore w:val="false"/>
        <w:pBdr/>
        <w:spacing/>
        <w:ind/>
        <w:rPr/>
      </w:pPr>
      <w:r>
        <w:rPr>
          <w:rtl w:val="0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panose1 w:val="000005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36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720"/>
      </w:pPr>
      <w:rPr/>
      <w:start w:val="0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en" w:eastAsia="zh-CN" w:bidi="ar-SA"/>
      </w:rPr>
    </w:rPrDefault>
    <w:pPrDefault>
      <w:pPr>
        <w:pBdr/>
        <w:spacing w:after="12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Table Grid Light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1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2"/>
    <w:basedOn w:val="7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1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2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3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5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6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1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2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3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4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5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6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1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2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3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4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5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6"/>
    <w:basedOn w:val="7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8">
    <w:name w:val="Heading 7"/>
    <w:basedOn w:val="893"/>
    <w:next w:val="893"/>
    <w:link w:val="84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9">
    <w:name w:val="Heading 8"/>
    <w:basedOn w:val="893"/>
    <w:next w:val="893"/>
    <w:link w:val="85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0">
    <w:name w:val="Heading 9"/>
    <w:basedOn w:val="893"/>
    <w:next w:val="893"/>
    <w:link w:val="85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1" w:default="1">
    <w:name w:val="Default Paragraph Font"/>
    <w:uiPriority w:val="1"/>
    <w:semiHidden/>
    <w:unhideWhenUsed/>
    <w:pPr>
      <w:pBdr/>
      <w:spacing/>
      <w:ind/>
    </w:pPr>
  </w:style>
  <w:style w:type="numbering" w:styleId="842" w:default="1">
    <w:name w:val="No List"/>
    <w:uiPriority w:val="99"/>
    <w:semiHidden/>
    <w:unhideWhenUsed/>
    <w:pPr>
      <w:pBdr/>
      <w:spacing/>
      <w:ind/>
    </w:pPr>
  </w:style>
  <w:style w:type="character" w:styleId="843">
    <w:name w:val="Heading 1 Char"/>
    <w:basedOn w:val="841"/>
    <w:link w:val="8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4">
    <w:name w:val="Heading 2 Char"/>
    <w:basedOn w:val="841"/>
    <w:link w:val="8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5">
    <w:name w:val="Heading 3 Char"/>
    <w:basedOn w:val="841"/>
    <w:link w:val="8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6">
    <w:name w:val="Heading 4 Char"/>
    <w:basedOn w:val="841"/>
    <w:link w:val="89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7">
    <w:name w:val="Heading 5 Char"/>
    <w:basedOn w:val="841"/>
    <w:link w:val="8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8">
    <w:name w:val="Heading 6 Char"/>
    <w:basedOn w:val="841"/>
    <w:link w:val="89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9">
    <w:name w:val="Heading 7 Char"/>
    <w:basedOn w:val="841"/>
    <w:link w:val="83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0">
    <w:name w:val="Heading 8 Char"/>
    <w:basedOn w:val="841"/>
    <w:link w:val="8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1">
    <w:name w:val="Heading 9 Char"/>
    <w:basedOn w:val="841"/>
    <w:link w:val="8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2">
    <w:name w:val="Title Char"/>
    <w:basedOn w:val="841"/>
    <w:link w:val="9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53">
    <w:name w:val="Subtitle Char"/>
    <w:basedOn w:val="841"/>
    <w:link w:val="90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893"/>
    <w:next w:val="893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>
    <w:name w:val="Quote Char"/>
    <w:basedOn w:val="841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6">
    <w:name w:val="List Paragraph"/>
    <w:basedOn w:val="893"/>
    <w:uiPriority w:val="34"/>
    <w:qFormat/>
    <w:pPr>
      <w:pBdr/>
      <w:spacing/>
      <w:ind w:left="720"/>
      <w:contextualSpacing w:val="true"/>
    </w:pPr>
  </w:style>
  <w:style w:type="character" w:styleId="857">
    <w:name w:val="Intense Emphasis"/>
    <w:basedOn w:val="8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8">
    <w:name w:val="Intense Quote"/>
    <w:basedOn w:val="893"/>
    <w:next w:val="893"/>
    <w:link w:val="85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9">
    <w:name w:val="Intense Quote Char"/>
    <w:basedOn w:val="841"/>
    <w:link w:val="85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0">
    <w:name w:val="Intense Reference"/>
    <w:basedOn w:val="8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1">
    <w:name w:val="No Spacing"/>
    <w:basedOn w:val="893"/>
    <w:uiPriority w:val="1"/>
    <w:qFormat/>
    <w:pPr>
      <w:pBdr/>
      <w:spacing w:after="0" w:line="240" w:lineRule="auto"/>
      <w:ind/>
    </w:pPr>
  </w:style>
  <w:style w:type="character" w:styleId="862">
    <w:name w:val="Subtle Emphasis"/>
    <w:basedOn w:val="8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3">
    <w:name w:val="Emphasis"/>
    <w:basedOn w:val="841"/>
    <w:uiPriority w:val="20"/>
    <w:qFormat/>
    <w:pPr>
      <w:pBdr/>
      <w:spacing/>
      <w:ind/>
    </w:pPr>
    <w:rPr>
      <w:i/>
      <w:iCs/>
    </w:rPr>
  </w:style>
  <w:style w:type="character" w:styleId="864">
    <w:name w:val="Strong"/>
    <w:basedOn w:val="841"/>
    <w:uiPriority w:val="22"/>
    <w:qFormat/>
    <w:pPr>
      <w:pBdr/>
      <w:spacing/>
      <w:ind/>
    </w:pPr>
    <w:rPr>
      <w:b/>
      <w:bCs/>
    </w:rPr>
  </w:style>
  <w:style w:type="character" w:styleId="865">
    <w:name w:val="Subtle Reference"/>
    <w:basedOn w:val="8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6">
    <w:name w:val="Book Title"/>
    <w:basedOn w:val="8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7">
    <w:name w:val="Header"/>
    <w:basedOn w:val="893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Header Char"/>
    <w:basedOn w:val="841"/>
    <w:link w:val="867"/>
    <w:uiPriority w:val="99"/>
    <w:pPr>
      <w:pBdr/>
      <w:spacing/>
      <w:ind/>
    </w:pPr>
  </w:style>
  <w:style w:type="paragraph" w:styleId="869">
    <w:name w:val="Footer"/>
    <w:basedOn w:val="893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Footer Char"/>
    <w:basedOn w:val="841"/>
    <w:link w:val="869"/>
    <w:uiPriority w:val="99"/>
    <w:pPr>
      <w:pBdr/>
      <w:spacing/>
      <w:ind/>
    </w:pPr>
  </w:style>
  <w:style w:type="paragraph" w:styleId="871">
    <w:name w:val="Caption"/>
    <w:basedOn w:val="893"/>
    <w:next w:val="89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2">
    <w:name w:val="footnote text"/>
    <w:basedOn w:val="893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Footnote Text Char"/>
    <w:basedOn w:val="841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footnote reference"/>
    <w:basedOn w:val="841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endnote text"/>
    <w:basedOn w:val="893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Endnote Text Char"/>
    <w:basedOn w:val="841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endnote reference"/>
    <w:basedOn w:val="841"/>
    <w:uiPriority w:val="99"/>
    <w:semiHidden/>
    <w:unhideWhenUsed/>
    <w:pPr>
      <w:pBdr/>
      <w:spacing/>
      <w:ind/>
    </w:pPr>
    <w:rPr>
      <w:vertAlign w:val="superscript"/>
    </w:rPr>
  </w:style>
  <w:style w:type="character" w:styleId="878">
    <w:name w:val="Hyperlink"/>
    <w:basedOn w:val="84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9">
    <w:name w:val="FollowedHyperlink"/>
    <w:basedOn w:val="8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0">
    <w:name w:val="toc 1"/>
    <w:basedOn w:val="893"/>
    <w:next w:val="893"/>
    <w:uiPriority w:val="39"/>
    <w:unhideWhenUsed/>
    <w:pPr>
      <w:pBdr/>
      <w:spacing w:after="100"/>
      <w:ind/>
    </w:pPr>
  </w:style>
  <w:style w:type="paragraph" w:styleId="881">
    <w:name w:val="toc 2"/>
    <w:basedOn w:val="893"/>
    <w:next w:val="893"/>
    <w:uiPriority w:val="39"/>
    <w:unhideWhenUsed/>
    <w:pPr>
      <w:pBdr/>
      <w:spacing w:after="100"/>
      <w:ind w:left="220"/>
    </w:pPr>
  </w:style>
  <w:style w:type="paragraph" w:styleId="882">
    <w:name w:val="toc 3"/>
    <w:basedOn w:val="893"/>
    <w:next w:val="893"/>
    <w:uiPriority w:val="39"/>
    <w:unhideWhenUsed/>
    <w:pPr>
      <w:pBdr/>
      <w:spacing w:after="100"/>
      <w:ind w:left="440"/>
    </w:pPr>
  </w:style>
  <w:style w:type="paragraph" w:styleId="883">
    <w:name w:val="toc 4"/>
    <w:basedOn w:val="893"/>
    <w:next w:val="893"/>
    <w:uiPriority w:val="39"/>
    <w:unhideWhenUsed/>
    <w:pPr>
      <w:pBdr/>
      <w:spacing w:after="100"/>
      <w:ind w:left="660"/>
    </w:pPr>
  </w:style>
  <w:style w:type="paragraph" w:styleId="884">
    <w:name w:val="toc 5"/>
    <w:basedOn w:val="893"/>
    <w:next w:val="893"/>
    <w:uiPriority w:val="39"/>
    <w:unhideWhenUsed/>
    <w:pPr>
      <w:pBdr/>
      <w:spacing w:after="100"/>
      <w:ind w:left="880"/>
    </w:pPr>
  </w:style>
  <w:style w:type="paragraph" w:styleId="885">
    <w:name w:val="toc 6"/>
    <w:basedOn w:val="893"/>
    <w:next w:val="893"/>
    <w:uiPriority w:val="39"/>
    <w:unhideWhenUsed/>
    <w:pPr>
      <w:pBdr/>
      <w:spacing w:after="100"/>
      <w:ind w:left="1100"/>
    </w:pPr>
  </w:style>
  <w:style w:type="paragraph" w:styleId="886">
    <w:name w:val="toc 7"/>
    <w:basedOn w:val="893"/>
    <w:next w:val="893"/>
    <w:uiPriority w:val="39"/>
    <w:unhideWhenUsed/>
    <w:pPr>
      <w:pBdr/>
      <w:spacing w:after="100"/>
      <w:ind w:left="1320"/>
    </w:pPr>
  </w:style>
  <w:style w:type="paragraph" w:styleId="887">
    <w:name w:val="toc 8"/>
    <w:basedOn w:val="893"/>
    <w:next w:val="893"/>
    <w:uiPriority w:val="39"/>
    <w:unhideWhenUsed/>
    <w:pPr>
      <w:pBdr/>
      <w:spacing w:after="100"/>
      <w:ind w:left="1540"/>
    </w:pPr>
  </w:style>
  <w:style w:type="paragraph" w:styleId="888">
    <w:name w:val="toc 9"/>
    <w:basedOn w:val="893"/>
    <w:next w:val="893"/>
    <w:uiPriority w:val="39"/>
    <w:unhideWhenUsed/>
    <w:pPr>
      <w:pBdr/>
      <w:spacing w:after="100"/>
      <w:ind w:left="1760"/>
    </w:pPr>
  </w:style>
  <w:style w:type="character" w:styleId="889">
    <w:name w:val="Placeholder Text"/>
    <w:basedOn w:val="841"/>
    <w:uiPriority w:val="99"/>
    <w:semiHidden/>
    <w:pPr>
      <w:pBdr/>
      <w:spacing/>
      <w:ind/>
    </w:pPr>
    <w:rPr>
      <w:color w:val="666666"/>
    </w:rPr>
  </w:style>
  <w:style w:type="paragraph" w:styleId="890">
    <w:name w:val="TOC Heading"/>
    <w:uiPriority w:val="39"/>
    <w:unhideWhenUsed/>
    <w:pPr>
      <w:pBdr/>
      <w:spacing/>
      <w:ind/>
    </w:pPr>
  </w:style>
  <w:style w:type="paragraph" w:styleId="891">
    <w:name w:val="table of figures"/>
    <w:basedOn w:val="893"/>
    <w:next w:val="893"/>
    <w:uiPriority w:val="99"/>
    <w:unhideWhenUsed/>
    <w:pPr>
      <w:pBdr/>
      <w:spacing w:after="0" w:afterAutospacing="0"/>
      <w:ind/>
    </w:pPr>
  </w:style>
  <w:style w:type="table" w:styleId="892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3" w:default="1">
    <w:name w:val="Normal"/>
    <w:pPr>
      <w:pBdr/>
      <w:spacing/>
      <w:ind/>
    </w:pPr>
  </w:style>
  <w:style w:type="paragraph" w:styleId="894">
    <w:name w:val="Heading 1"/>
    <w:basedOn w:val="893"/>
    <w:next w:val="893"/>
    <w:pPr>
      <w:keepNext w:val="true"/>
      <w:keepLines w:val="true"/>
      <w:pBdr/>
      <w:spacing w:after="160" w:before="320"/>
      <w:ind/>
    </w:pPr>
    <w:rPr>
      <w:rFonts w:ascii="Calibri" w:hAnsi="Calibri" w:eastAsia="Calibri" w:cs="Calibri"/>
      <w:b/>
      <w:bCs/>
      <w:color w:val="2e74b5"/>
      <w:sz w:val="32"/>
      <w:szCs w:val="32"/>
    </w:rPr>
  </w:style>
  <w:style w:type="paragraph" w:styleId="895">
    <w:name w:val="Heading 2"/>
    <w:basedOn w:val="893"/>
    <w:next w:val="893"/>
    <w:pPr>
      <w:keepNext w:val="true"/>
      <w:keepLines w:val="true"/>
      <w:pBdr/>
      <w:spacing w:after="120" w:before="240"/>
      <w:ind/>
    </w:pPr>
    <w:rPr>
      <w:rFonts w:ascii="Calibri" w:hAnsi="Calibri" w:eastAsia="Calibri" w:cs="Calibri"/>
      <w:b/>
      <w:bCs/>
      <w:color w:val="2e74b5"/>
      <w:sz w:val="26"/>
      <w:szCs w:val="26"/>
    </w:rPr>
  </w:style>
  <w:style w:type="paragraph" w:styleId="896">
    <w:name w:val="Heading 3"/>
    <w:basedOn w:val="893"/>
    <w:next w:val="893"/>
    <w:pPr>
      <w:keepNext w:val="true"/>
      <w:keepLines w:val="true"/>
      <w:pBdr/>
      <w:spacing w:after="80" w:before="160"/>
      <w:ind/>
    </w:pPr>
    <w:rPr>
      <w:rFonts w:ascii="Calibri" w:hAnsi="Calibri" w:eastAsia="Calibri" w:cs="Calibri"/>
      <w:b/>
      <w:bCs/>
      <w:color w:val="1f4d78"/>
      <w:sz w:val="24"/>
      <w:szCs w:val="24"/>
    </w:rPr>
  </w:style>
  <w:style w:type="paragraph" w:styleId="897">
    <w:name w:val="Heading 4"/>
    <w:basedOn w:val="893"/>
    <w:next w:val="893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b/>
      <w:bCs/>
      <w:i/>
      <w:iCs/>
      <w:color w:val="4f81bd"/>
    </w:rPr>
  </w:style>
  <w:style w:type="paragraph" w:styleId="898">
    <w:name w:val="Heading 5"/>
    <w:basedOn w:val="893"/>
    <w:next w:val="893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color w:val="243f61"/>
    </w:rPr>
  </w:style>
  <w:style w:type="paragraph" w:styleId="899">
    <w:name w:val="Heading 6"/>
    <w:basedOn w:val="893"/>
    <w:next w:val="893"/>
    <w:pPr>
      <w:keepNext w:val="true"/>
      <w:keepLines w:val="true"/>
      <w:pBdr/>
      <w:spacing w:after="0" w:before="200"/>
      <w:ind/>
    </w:pPr>
    <w:rPr>
      <w:rFonts w:ascii="Calibri" w:hAnsi="Calibri" w:eastAsia="Calibri" w:cs="Calibri"/>
      <w:i/>
      <w:iCs/>
      <w:color w:val="243f61"/>
    </w:rPr>
  </w:style>
  <w:style w:type="paragraph" w:styleId="900">
    <w:name w:val="Title"/>
    <w:basedOn w:val="893"/>
    <w:next w:val="893"/>
    <w:pPr>
      <w:pBdr>
        <w:bottom w:val="single" w:color="4f81bd" w:sz="8" w:space="4"/>
      </w:pBdr>
      <w:spacing w:after="120" w:line="240" w:lineRule="auto"/>
      <w:ind/>
    </w:pPr>
    <w:rPr>
      <w:rFonts w:ascii="Calibri" w:hAnsi="Calibri" w:eastAsia="Calibri" w:cs="Calibri"/>
      <w:b/>
      <w:bCs/>
      <w:color w:val="0b2545"/>
      <w:sz w:val="44"/>
      <w:szCs w:val="44"/>
    </w:rPr>
  </w:style>
  <w:style w:type="paragraph" w:styleId="901">
    <w:name w:val="Subtitle"/>
    <w:basedOn w:val="893"/>
    <w:next w:val="893"/>
    <w:pPr>
      <w:pBdr/>
      <w:spacing w:after="240"/>
      <w:ind/>
    </w:pPr>
    <w:rPr>
      <w:rFonts w:ascii="Calibri" w:hAnsi="Calibri" w:eastAsia="Calibri" w:cs="Calibri"/>
      <w:i/>
      <w:iCs/>
      <w:color w:val="5a5a5a"/>
      <w:sz w:val="26"/>
      <w:szCs w:val="26"/>
    </w:rPr>
  </w:style>
  <w:style w:type="table" w:styleId="902">
    <w:name w:val="StGen0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StGen1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StGen2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StGen3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StGen4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StGen5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StGen6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StGen7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StGen8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StGen9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StGen10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StGen11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StGen12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StGen13"/>
    <w:basedOn w:val="892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2026-06-30T14:49:14Z</dcterms:modified>
</cp:coreProperties>
</file>