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900"/>
        <w:pageBreakBefore w:val="false"/>
        <w:pBdr/>
        <w:spacing/>
        <w:ind/>
        <w:jc w:val="left"/>
        <w:rPr/>
      </w:pPr>
      <w:r>
        <w:rPr>
          <w:rFonts w:ascii="Calibri" w:hAnsi="Calibri" w:eastAsia="Calibri" w:cs="Calibri"/>
          <w:b/>
          <w:bCs/>
          <w:color w:val="0b2545"/>
          <w:sz w:val="44"/>
          <w:szCs w:val="44"/>
          <w:rtl w:val="0"/>
        </w:rPr>
        <w:t xml:space="preserve">Тест План</w:t>
      </w:r>
      <w:r>
        <w:rPr>
          <w:rtl w:val="0"/>
        </w:rPr>
      </w:r>
      <w:r/>
    </w:p>
    <w:p w14:paraId="00000002">
      <w:pPr>
        <w:pStyle w:val="901"/>
        <w:pageBreakBefore w:val="false"/>
        <w:pBdr/>
        <w:spacing/>
        <w:ind/>
        <w:rPr/>
      </w:pPr>
      <w:r>
        <w:rPr>
          <w:rFonts w:ascii="Calibri" w:hAnsi="Calibri" w:eastAsia="Calibri" w:cs="Calibri"/>
          <w:i/>
          <w:iCs/>
          <w:color w:val="5a5a5a"/>
          <w:sz w:val="26"/>
          <w:szCs w:val="26"/>
          <w:rtl w:val="0"/>
        </w:rPr>
        <w:t xml:space="preserve">по автоматизации тестирования TeamCity</w:t>
      </w:r>
      <w:r>
        <w:rPr>
          <w:rtl w:val="0"/>
        </w:rPr>
      </w:r>
      <w:r/>
    </w:p>
    <w:p w14:paraId="0000000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color w:val="505050"/>
          <w:sz w:val="22"/>
          <w:szCs w:val="22"/>
          <w:rtl w:val="0"/>
        </w:rPr>
        <w:t xml:space="preserve">Версия плана: 1.1</w:t>
        <w:br/>
        <w:t xml:space="preserve">Дата: 30.06.2026</w:t>
        <w:br/>
      </w:r>
      <w:r>
        <w:rPr>
          <w:rtl w:val="0"/>
        </w:rPr>
      </w:r>
      <w:r/>
    </w:p>
    <w:p w14:paraId="00000004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Содержание</w:t>
      </w:r>
      <w:r>
        <w:rPr>
          <w:rtl w:val="0"/>
        </w:rPr>
      </w:r>
      <w:r/>
    </w:p>
    <w:p w14:paraId="0000000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1" w:anchor="toc_sec_01" w:history="1">
        <w:r>
          <w:rPr>
            <w:color w:val="0563c1"/>
            <w:u w:val="single"/>
          </w:rPr>
          <w:t xml:space="preserve">Исходные условия проекта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6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2" w:anchor="toc_sec_02" w:history="1">
        <w:r>
          <w:rPr>
            <w:color w:val="0563c1"/>
            <w:u w:val="single"/>
          </w:rPr>
          <w:t xml:space="preserve">Цель плана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3" w:anchor="toc_sec_03" w:history="1">
        <w:r>
          <w:rPr>
            <w:color w:val="0563c1"/>
            <w:u w:val="single"/>
          </w:rPr>
          <w:t xml:space="preserve">Метрики продукта и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4" w:anchor="toc_sec_04" w:history="1">
        <w:r>
          <w:rPr>
            <w:color w:val="0563c1"/>
            <w:u w:val="single"/>
          </w:rPr>
          <w:t xml:space="preserve">Аспекты качества продукта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5" w:anchor="toc_sec_05" w:history="1">
        <w:r>
          <w:rPr>
            <w:color w:val="0563c1"/>
            <w:u w:val="single"/>
          </w:rPr>
          <w:t xml:space="preserve">Виды и уровни тестирования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quality_metrics" w:anchor="toc_sec_quality_metrics" w:history="1">
        <w:r>
          <w:rPr>
            <w:color w:val="0563c1"/>
            <w:u w:val="single"/>
          </w:rPr>
          <w:t xml:space="preserve">Метрики качества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roi" w:anchor="toc_sec_roi" w:history="1">
        <w:r>
          <w:rPr>
            <w:color w:val="0563c1"/>
            <w:u w:val="single"/>
          </w:rPr>
          <w:t xml:space="preserve">Расчет ROI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A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06" w:history="1">
        <w:r>
          <w:rPr>
            <w:color w:val="0563c1"/>
            <w:u w:val="single"/>
          </w:rPr>
          <w:t xml:space="preserve">Стек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framework_architecture" w:history="1">
        <w:r>
          <w:rPr>
            <w:color w:val="0563c1"/>
            <w:u w:val="single"/>
          </w:rPr>
          <w:t xml:space="preserve">Архитектура фреймворка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B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7" w:anchor="toc_sec_07" w:history="1">
        <w:r>
          <w:rPr>
            <w:color w:val="0563c1"/>
            <w:u w:val="single"/>
          </w:rPr>
          <w:t xml:space="preserve">Тестовое окружение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C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8" w:anchor="toc_sec_08" w:history="1">
        <w:r>
          <w:rPr>
            <w:color w:val="0563c1"/>
            <w:u w:val="single"/>
          </w:rPr>
          <w:t xml:space="preserve">Критичный MVP-сценарий автоматизации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D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9" w:anchor="toc_sec_09" w:history="1">
        <w:r>
          <w:rPr>
            <w:color w:val="0563c1"/>
            <w:u w:val="single"/>
          </w:rPr>
          <w:t xml:space="preserve">UI Automation Scope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E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0" w:anchor="toc_sec_10" w:history="1">
        <w:r>
          <w:rPr>
            <w:color w:val="0563c1"/>
            <w:u w:val="single"/>
          </w:rPr>
          <w:t xml:space="preserve">Стратегия тестовых данных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F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1" w:anchor="toc_sec_11" w:history="1">
        <w:r>
          <w:rPr>
            <w:color w:val="0563c1"/>
            <w:u w:val="single"/>
          </w:rPr>
          <w:t xml:space="preserve">Тестовые сценарии и скоуп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0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2" w:anchor="toc_sec_12" w:history="1">
        <w:r>
          <w:rPr>
            <w:color w:val="0563c1"/>
            <w:u w:val="single"/>
          </w:rPr>
          <w:t xml:space="preserve">Поэтапный план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1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3" w:anchor="toc_sec_13" w:history="1">
        <w:r>
          <w:rPr>
            <w:color w:val="0563c1"/>
            <w:u w:val="single"/>
          </w:rPr>
          <w:t xml:space="preserve">Необходимые ресурсы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2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4" w:anchor="toc_sec_14" w:history="1">
        <w:r>
          <w:rPr>
            <w:color w:val="0563c1"/>
            <w:u w:val="single"/>
          </w:rPr>
          <w:t xml:space="preserve">Распределение работ в команде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3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5" w:anchor="toc_sec_15" w:history="1">
        <w:r>
          <w:rPr>
            <w:color w:val="0563c1"/>
            <w:u w:val="single"/>
          </w:rPr>
          <w:t xml:space="preserve">Риски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4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6" w:anchor="toc_sec_16" w:history="1">
        <w:r>
          <w:rPr>
            <w:color w:val="0563c1"/>
            <w:u w:val="single"/>
          </w:rPr>
          <w:t xml:space="preserve">Отслеживание процесса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7" w:anchor="toc_sec_17" w:history="1">
        <w:r>
          <w:rPr>
            <w:color w:val="0563c1"/>
            <w:u w:val="single"/>
          </w:rPr>
          <w:t xml:space="preserve">Структура команды тестирования (нет информации о ФИО и контактах)</w:t>
        </w:r>
      </w:hyperlink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1" w:name="toc_sec_0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Исходные условия проекта</w:t>
      </w:r>
      <w:r>
        <w:rPr>
          <w:rtl w:val="0"/>
        </w:rPr>
      </w:r>
      <w:bookmarkEnd w:id="1001"/>
      <w:r/>
      <w:r/>
    </w:p>
    <w:tbl>
      <w:tblPr>
        <w:tblStyle w:val="90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Параметр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Решение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Команда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3 QA Automation Engineers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Состояние тестов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 xml:space="preserve"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Продукт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Целевая версия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Agent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Локальная база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CI-подход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 на internal HSQLDB, production-like CI на PostgreSQL, compatibility smoke на остальных поддерживаемых 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Test Management System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информации: конкретная TMS не выбрана.</w:t>
            </w:r>
            <w:r>
              <w:rPr>
                <w:rtl w:val="0"/>
              </w:rPr>
            </w:r>
            <w:r/>
          </w:p>
        </w:tc>
      </w:tr>
    </w:tbl>
    <w:p w14:paraId="0000002F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1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2" w:name="toc_sec_0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Цель плана</w:t>
      </w:r>
      <w:r>
        <w:rPr>
          <w:rtl w:val="0"/>
        </w:rPr>
      </w:r>
      <w:bookmarkEnd w:id="1002"/>
      <w:r/>
      <w:r/>
    </w:p>
    <w:p w14:paraId="00000017">
      <w:pPr>
        <w:pageBreakBefore w:val="false"/>
        <w:pBdr/>
        <w:spacing w:after="120" w:line="259" w:lineRule="auto"/>
        <w:ind/>
        <w:rPr/>
      </w:pPr>
      <w:r>
        <w:rPr>
          <w:rFonts w:ascii="Calibri" w:hAnsi="Calibri"/>
        </w:rPr>
        <w:t xml:space="preserve">Цель тест-плана — определить стратегию автоматизации TeamCity с нуля для команды из трех QA Automation Engineers. На старт</w:t>
      </w:r>
      <w:r>
        <w:rPr>
          <w:rFonts w:ascii="Calibri" w:hAnsi="Calibri"/>
        </w:rPr>
        <w:t xml:space="preserve">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  <w:r/>
    </w:p>
    <w:p w14:paraId="0000001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Сконцентрироваться на наиболее критичной функциональности продукта.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/>
          <w:sz w:val="22"/>
        </w:rPr>
        <w:t xml:space="preserve">Покрыть сквозной жизненный цикл TeamCity: первый запуск, администратор, роли и права доступа, agent, project, build configuration, build run.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Подготовить pipeline, который поднимает стенд и запускает автотесты воспроизводимо.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0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  <w:t xml:space="preserve">Бизнес 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  <w:t xml:space="preserve">м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етрики продукта</w:t>
      </w:r>
      <w:r/>
    </w:p>
    <w:p w14:paraId="00000031">
      <w:pPr>
        <w:pageBreakBefore w:val="false"/>
        <w:pBdr/>
        <w:spacing w:after="120" w:line="259" w:lineRule="auto"/>
        <w:ind/>
        <w:rPr/>
      </w:pPr>
      <w: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  <w:r/>
    </w:p>
    <w:tbl>
      <w:tblPr>
        <w:tblStyle w:val="903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15"/>
        <w:gridCol w:w="3313"/>
        <w:gridCol w:w="3264"/>
        <w:tblGridChange w:id="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Цель тест-плана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Метрика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Целевое значение / критерий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Оценить влияние автоматизации на delivery.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Time To Market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sz w:val="21"/>
              </w:rPr>
              <w:t xml:space="preserve">Ускорить на 20% время доставки новой функциональности в продакшн версию продукта за счет более быстрого P0/P1 feedback loop </w:t>
            </w:r>
            <w:r>
              <w:rPr>
                <w:sz w:val="21"/>
                <w:lang w:val="ru-RU"/>
              </w:rPr>
              <w:t xml:space="preserve">и сокращения </w:t>
            </w:r>
            <w:r>
              <w:rPr>
                <w:sz w:val="21"/>
              </w:rPr>
              <w:t xml:space="preserve">ручной регрессии.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Mean Time to Detect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Уменьшить среднее время обнаружения ошибок до 2 часов для регрессионного тестирования. 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7440A9A7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  <w:t xml:space="preserve">Быстро обнаруживать критичные поломки.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  <w:p w14:paraId="2CB3FF4E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250CB2FA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Bug Fix Time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1669843F">
            <w:pPr>
              <w:pBdr/>
              <w:spacing w:after="40"/>
              <w:ind/>
              <w:rPr>
                <w:sz w:val="21"/>
                <w:szCs w:val="21"/>
                <w14:ligatures w14:val="none"/>
              </w:rPr>
            </w:pP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  <w:t xml:space="preserve">Сократить время исправления критических багов до 24 часов</w:t>
            </w:r>
            <w:r>
              <w:rPr>
                <w:sz w:val="21"/>
                <w:szCs w:val="21"/>
                <w14:ligatures w14:val="none"/>
              </w:rPr>
            </w:r>
            <w:r>
              <w:rPr>
                <w:sz w:val="21"/>
                <w:szCs w:val="21"/>
                <w14:ligatures w14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28185AA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Сконцентрироваться на наиболее критичной функциональности продукта.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4B9259BF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P0/P1 coverage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07CF8E5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120" w:before="0" w:line="259" w:lineRule="auto"/>
              <w:ind w:right="0" w:firstLine="0" w:lef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val="clear" w:color="auto" w:fill="auto"/>
                <w:vertAlign w:val="baseline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vertAlign w:val="baseline"/>
                <w14:ligatures w14:val="none"/>
              </w:rPr>
            </w:r>
          </w:p>
        </w:tc>
      </w:tr>
    </w:tbl>
    <w:p w14:paraId="00000053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54">
      <w:pPr>
        <w:pStyle w:val="894"/>
        <w:keepNext w:val="true"/>
        <w:pageBreakBefore w:val="false"/>
        <w:pBdr/>
        <w:spacing w:after="120" w:before="240"/>
        <w:ind/>
        <w:rPr>
          <w:highlight w:val="yellow"/>
        </w:rPr>
      </w:pPr>
      <w:r>
        <w:rPr>
          <w:highlight w:val="yellow"/>
        </w:rPr>
      </w:r>
      <w:bookmarkStart w:id="1004" w:name="toc_sec_04"/>
      <w:r>
        <w:rPr>
          <w:rFonts w:ascii="Calibri" w:hAnsi="Calibri" w:eastAsia="Calibri" w:cs="Calibri"/>
          <w:b/>
          <w:bCs/>
          <w:color w:val="2e74b5"/>
          <w:sz w:val="32"/>
          <w:szCs w:val="32"/>
          <w:highlight w:val="yellow"/>
          <w:rtl w:val="0"/>
        </w:rPr>
        <w:t xml:space="preserve">Аспекты качества продукта</w:t>
      </w:r>
      <w:r>
        <w:rPr>
          <w:highlight w:val="yellow"/>
          <w:rtl w:val="0"/>
        </w:rPr>
      </w:r>
      <w:bookmarkEnd w:id="1004"/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TODO</w:t>
      </w:r>
      <w:r>
        <w:rPr>
          <w:highlight w:val="yellow"/>
        </w:rPr>
      </w:r>
      <w:r>
        <w:rPr>
          <w:highlight w:val="yellow"/>
        </w:rPr>
      </w:r>
    </w:p>
    <w:tbl>
      <w:tblPr>
        <w:tblStyle w:val="90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Аспект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Почему критично для TeamCity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Риск без покрытия</w:t>
            </w:r>
            <w:r>
              <w:rPr>
                <w:rtl w:val="0"/>
              </w:rPr>
            </w:r>
            <w:r/>
          </w:p>
        </w:tc>
      </w:tr>
    </w:tbl>
    <w:p w14:paraId="0000006D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6E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5" w:name="toc_sec_0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Виды и уровни тестирования</w:t>
      </w:r>
      <w:r>
        <w:rPr>
          <w:rtl w:val="0"/>
        </w:rPr>
      </w:r>
      <w:bookmarkEnd w:id="1005"/>
      <w:r>
        <w:rPr>
          <w:lang w:val="ru-RU"/>
        </w:rPr>
        <w:t xml:space="preserve"> </w:t>
      </w:r>
      <w:r>
        <w:rPr>
          <w:highlight w:val="none"/>
          <w:lang w:val="en-US"/>
        </w:rPr>
        <w:t xml:space="preserve">TODO</w:t>
      </w:r>
      <w:r>
        <w:rPr>
          <w:lang w:val="ru-RU"/>
        </w:rPr>
      </w:r>
      <w:r/>
    </w:p>
    <w:tbl>
      <w:tblPr>
        <w:tblStyle w:val="905"/>
        <w:tblInd w:w="-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1300"/>
        <w:gridCol w:w="2150"/>
        <w:gridCol w:w="3450"/>
        <w:gridCol w:w="2460"/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6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Приоритет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Вид тестирования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Решение для проекта</w:t>
            </w:r>
            <w:r/>
          </w:p>
        </w:tc>
        <w:tc>
          <w:tcPr>
            <w:shd w:val="clear" w:color="auto" w:fill="f2f2f2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 xml:space="preserve">Кто отвечает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E2E Smoke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Критичный путь от первого запуска до успешного build.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команда; интегратор недели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API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Project, build configuration, build run, build status, server readiness.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API-сущностям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UI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Только критичные flows: setup wizard, first admin, agent authorization.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UI-flow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P1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Roles / Permissions Testing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Критичные проверки прав: admin имеет полный доступ; ограниченный пользователь не может выполнять admin/build/agent действия вне разрешений.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ролям и правам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Bootstrap / Installability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7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Headless-подготовка стенда для CI без ручного UI.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команда; bootstrap-owner недели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7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7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Integration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Связка Server + Agent + REST API + build lifecycle.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Smoke с PostgreSQL, MySQL, MariaDB, MS SQL Server, Oracle.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Engineers, по ротации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Regression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Расширение после стабилизации MVP-покрытия.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Вся команда после MVP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Security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Минимально: login, token usage, agent authorization; полный security scope не описан.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QA Automation Engineers; scope уточняется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Unit Testing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6"/>
              </w:rPr>
              <w:t xml:space="preserve">Unit tests продукта существуют, но не входят в scope команды на старте; проект проверяет TeamCity как black-box через UI/API/E2E.</w:t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Команда продукта; вне scope проекта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1300" w:type="dxa"/>
            <w:vAlign w:val="center"/>
          </w:tcPr>
          <w:p w14:paraId="0000008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150" w:type="dxa"/>
            <w:vAlign w:val="center"/>
          </w:tcPr>
          <w:p w14:paraId="0000008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Performance/Load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3450" w:type="dxa"/>
            <w:vAlign w:val="center"/>
          </w:tcPr>
          <w:p w14:paraId="0000008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Не входит в первые 4 недели, кроме базового контроля длительности smoke.</w:t>
            </w:r>
            <w:r>
              <w:rPr>
                <w:rFonts w:ascii="Calibri" w:hAnsi="Calibri"/>
                <w:sz w:val="16"/>
              </w:rPr>
            </w:r>
            <w:r/>
          </w:p>
        </w:tc>
        <w:tc>
          <w:tcPr>
            <w:shd w:val="clear" w:color="auto" w:fill="ffffff"/>
            <w:tcBorders/>
            <w:tcMar>
              <w:left w:w="90" w:type="dxa"/>
              <w:top w:w="80" w:type="dxa"/>
              <w:right w:w="90" w:type="dxa"/>
              <w:bottom w:w="80" w:type="dxa"/>
            </w:tcMar>
            <w:tcW w:w="2460" w:type="dxa"/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6"/>
              </w:rPr>
              <w:t xml:space="preserve">Не назначается на первые 4 недели</w:t>
            </w:r>
            <w:r/>
          </w:p>
        </w:tc>
      </w:tr>
    </w:tbl>
    <w:p w14:paraId="00000090">
      <w:pPr>
        <w:pageBreakBefore w:val="false"/>
        <w:pBdr/>
        <w:spacing/>
        <w:ind/>
        <w:rPr/>
      </w:pPr>
      <w:r>
        <w:rPr>
          <w:rtl w:val="0"/>
        </w:rPr>
      </w:r>
      <w:r/>
    </w:p>
    <w:p>
      <w:pPr>
        <w:pStyle w:val="894"/>
        <w:pBdr/>
        <w:spacing/>
        <w:ind/>
        <w:rPr/>
      </w:pPr>
      <w:r/>
      <w:bookmarkStart w:id="1019" w:name="toc_sec_quality_metrics"/>
      <w:r>
        <w:t xml:space="preserve">Метрики качества автоматизации</w:t>
      </w:r>
      <w:bookmarkEnd w:id="1019"/>
      <w:r/>
      <w:r/>
    </w:p>
    <w:tbl>
      <w:tblPr>
        <w:tblStyle w:val="903"/>
        <w:jc w:val="center"/>
        <w:tblInd w:w="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3000"/>
        <w:gridCol w:w="1900"/>
        <w:gridCol w:w="4460"/>
      </w:tblGrid>
      <w:tr>
        <w:trPr>
          <w:cantSplit/>
          <w:tblHeader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8"/>
              </w:rPr>
              <w:t xml:space="preserve">Цель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8"/>
              </w:rPr>
              <w:t xml:space="preserve">Метрика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8"/>
              </w:rPr>
              <w:t xml:space="preserve">Целевое значение / критерий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Сконцентрироваться на наиболее критичной функциональности продукта.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P0/P1 coverage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Подготовить pipeline, который поднимает стенд и запускает автотесты воспроизводимо.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Pipeline readiness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К концу 4-й недели pipeline поднимает стенд, выполняет bootstrap, запускает UI/API suites и публикует отчет.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Сохранять доверие к автотестам.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Pass Rate / Flaky Rate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Pass Rate &gt;= 95% на стабильном стенде; Flaky Rate &lt;= 3%.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Контролировать длительность быстрого smoke-прогона.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8"/>
              </w:rPr>
              <w:t xml:space="preserve">Smoke duration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4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8"/>
              </w:rPr>
              <w:t xml:space="preserve">&lt;= 20 минут для fast CI.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894"/>
        <w:pBdr/>
        <w:spacing/>
        <w:ind/>
        <w:rPr/>
      </w:pPr>
      <w:r/>
      <w:bookmarkStart w:id="1020" w:name="toc_sec_roi"/>
      <w:r>
        <w:t xml:space="preserve">Расчет ROI автоматизации</w:t>
      </w:r>
      <w:bookmarkEnd w:id="1020"/>
      <w:r/>
      <w:r/>
    </w:p>
    <w:p>
      <w:pPr>
        <w:pBdr/>
        <w:spacing w:after="120"/>
        <w:ind/>
        <w:rPr/>
      </w:pPr>
      <w:r>
        <w:t xml:space="preserve">В этом разделе ROI рассматривается как срок окупаемости автоматизации: сколько времени нужно, чтобы экономия на ручной P0/P1-регрессии покрыла первоначальные затраты на MVP-suite.</w:t>
      </w:r>
      <w:r/>
    </w:p>
    <w:p>
      <w:pPr>
        <w:pBdr/>
        <w:spacing w:after="120"/>
        <w:ind/>
        <w:rPr>
          <w:b/>
          <w:bCs/>
        </w:rPr>
      </w:pPr>
      <w:r>
        <w:rPr>
          <w:b/>
          <w:bCs/>
        </w:rPr>
        <w:t xml:space="preserve">Формула расчета: </w:t>
      </w:r>
      <w:r>
        <w:rPr>
          <w:b/>
          <w:bCs/>
        </w:rPr>
      </w:r>
      <w:r>
        <w:rPr>
          <w:b/>
          <w:bCs/>
        </w:rPr>
      </w:r>
    </w:p>
    <w:p w14:paraId="62FE5401">
      <w:pPr>
        <w:pBdr/>
        <w:spacing w:after="120"/>
        <w:ind/>
        <w:rPr/>
      </w:pPr>
      <w:r>
        <w:t xml:space="preserve">с</w:t>
      </w:r>
      <w:r>
        <w:t xml:space="preserve">рок окупаемости = затраты на автоматизацию / годовая экономия ручной регрессии. </w:t>
      </w:r>
      <w:r/>
    </w:p>
    <w:p w14:paraId="6C3F48CE">
      <w:pPr>
        <w:pBdr/>
        <w:spacing w:after="120"/>
        <w:ind/>
        <w:rPr/>
      </w:pPr>
      <w:r>
        <w:t xml:space="preserve">Все значения предварительные и относятся к MVP-scope: first start, admin, roles/permissions, agent, project, build configuration, build run и базовая проверка результата build.</w:t>
      </w:r>
      <w:r/>
    </w:p>
    <w:tbl>
      <w:tblPr>
        <w:tblStyle w:val="903"/>
        <w:jc w:val="center"/>
        <w:tblInd w:w="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3000"/>
        <w:gridCol w:w="4300"/>
        <w:gridCol w:w="2060"/>
      </w:tblGrid>
      <w:tr>
        <w:trPr>
          <w:cantSplit/>
          <w:tblHeader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7"/>
              </w:rPr>
              <w:t xml:space="preserve">Показатель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7"/>
              </w:rPr>
              <w:t xml:space="preserve">Как считаем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b/>
                <w:sz w:val="17"/>
              </w:rPr>
              <w:t xml:space="preserve">Результат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Затраты на </w:t>
            </w:r>
            <w:r>
              <w:rPr>
                <w:sz w:val="17"/>
                <w:lang w:val="ru-RU"/>
              </w:rPr>
              <w:t xml:space="preserve">автоматизацию </w:t>
            </w:r>
            <w:r>
              <w:rPr>
                <w:sz w:val="17"/>
              </w:rPr>
              <w:t xml:space="preserve">MVP-suite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3 QA Automation Engineers * 4 недели * 40 часов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480 часов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Одна ручная P0/P1-регрессия на одном окружении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setup/admin + roles/permissions + agent + project/build configuration + build run + отчетность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16 часов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Базовый регрессионный цикл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2 окружения: HSQLDB fast path + PostgreSQL production-like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1</w:t>
            </w:r>
            <w:r>
              <w:rPr>
                <w:sz w:val="17"/>
                <w:lang w:val="ru-RU"/>
              </w:rPr>
              <w:t xml:space="preserve">8 </w:t>
            </w:r>
            <w:r>
              <w:rPr>
                <w:sz w:val="17"/>
              </w:rPr>
              <w:t xml:space="preserve">часа за цикл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Экономия при 1 цикле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  <w:lang w:val="ru-RU"/>
              </w:rPr>
              <w:t xml:space="preserve">18</w:t>
            </w:r>
            <w:r>
              <w:rPr>
                <w:sz w:val="17"/>
              </w:rPr>
              <w:t xml:space="preserve"> часа * 12 месяцев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lang w:val="ru-RU"/>
              </w:rPr>
              <w:t xml:space="preserve">216</w:t>
            </w:r>
            <w:r>
              <w:rPr>
                <w:sz w:val="17"/>
              </w:rPr>
              <w:t xml:space="preserve"> часа/год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Срок окупаемости при 1 цикле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ru-RU"/>
              </w:rPr>
              <w:t xml:space="preserve">216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lang w:val="ru-RU"/>
              </w:rPr>
              <w:t xml:space="preserve">2</w:t>
            </w:r>
            <w:r>
              <w:rPr>
                <w:sz w:val="17"/>
                <w:lang w:val="en-US"/>
              </w:rPr>
              <w:t xml:space="preserve">,22 </w:t>
            </w:r>
            <w:r>
              <w:rPr>
                <w:sz w:val="17"/>
              </w:rPr>
              <w:t xml:space="preserve"> года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Экономия при 2 циклах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  <w:lang w:val="en-US"/>
              </w:rPr>
              <w:t xml:space="preserve">18</w:t>
            </w:r>
            <w:r>
              <w:rPr>
                <w:sz w:val="17"/>
              </w:rPr>
              <w:t xml:space="preserve"> часа * 2 * 12 месяцев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  <w:lang w:val="en-US"/>
              </w:rPr>
              <w:t xml:space="preserve">432</w:t>
            </w:r>
            <w:r>
              <w:rPr>
                <w:sz w:val="17"/>
              </w:rPr>
              <w:t xml:space="preserve"> часов/год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Срок окупаемости при 2 циклах в месяц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en-US"/>
              </w:rPr>
              <w:t xml:space="preserve">432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>
                <w:sz w:val="17"/>
                <w:szCs w:val="17"/>
                <w14:ligatures w14:val="none"/>
              </w:rPr>
            </w:pPr>
            <w:r>
              <w:rPr>
                <w:sz w:val="17"/>
                <w:lang w:val="en-US"/>
              </w:rPr>
              <w:t xml:space="preserve">1,11</w:t>
            </w:r>
            <w:r>
              <w:rPr>
                <w:sz w:val="17"/>
              </w:rPr>
              <w:t xml:space="preserve"> года, около </w:t>
            </w:r>
            <w:r>
              <w:rPr>
                <w:sz w:val="17"/>
                <w:szCs w:val="17"/>
              </w:rPr>
              <w:t xml:space="preserve">13,3 месяца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  <w14:ligatures w14:val="none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Risk-adjusted срок окупаемости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  <w:lang w:val="ru-RU"/>
              </w:rPr>
              <w:t xml:space="preserve">1</w:t>
            </w:r>
            <w:r>
              <w:rPr>
                <w:sz w:val="17"/>
                <w:lang w:val="en-US"/>
              </w:rPr>
              <w:t xml:space="preserve">,11</w:t>
            </w:r>
            <w:r>
              <w:rPr>
                <w:sz w:val="17"/>
              </w:rPr>
              <w:t xml:space="preserve"> * 2, если закладываем риск нестабильности и доработок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около </w:t>
            </w:r>
            <w:r>
              <w:rPr>
                <w:sz w:val="17"/>
                <w:lang w:val="en-US"/>
              </w:rPr>
              <w:t xml:space="preserve">2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  <w:lang w:val="en-US"/>
              </w:rPr>
              <w:t xml:space="preserve">22</w:t>
            </w:r>
            <w:r>
              <w:rPr>
                <w:sz w:val="17"/>
              </w:rPr>
              <w:t xml:space="preserve"> года</w:t>
            </w:r>
            <w:r/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DB compatibility ускоряет окупаемость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300" w:type="dxa"/>
            <w:vAlign w:val="center"/>
          </w:tcPr>
          <w:p>
            <w:pPr>
              <w:pBdr/>
              <w:spacing w:after="0" w:line="259" w:lineRule="auto"/>
              <w:ind/>
              <w:jc w:val="left"/>
              <w:rPr/>
            </w:pPr>
            <w:r>
              <w:rPr>
                <w:sz w:val="17"/>
              </w:rPr>
              <w:t xml:space="preserve">6 DB-профилей * 16 часов * 12 месяцев</w:t>
            </w:r>
            <w:r/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060" w:type="dxa"/>
            <w:vAlign w:val="center"/>
          </w:tcPr>
          <w:p>
            <w:pPr>
              <w:pBdr/>
              <w:spacing w:after="0" w:line="259" w:lineRule="auto"/>
              <w:ind/>
              <w:jc w:val="center"/>
              <w:rPr/>
            </w:pPr>
            <w:r>
              <w:rPr>
                <w:sz w:val="17"/>
              </w:rPr>
              <w:t xml:space="preserve">1152 часа/год; 480 / 1152 = 0.42 года без risk factor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Bdr/>
        <w:spacing w:after="120"/>
        <w:ind/>
        <w:rPr/>
      </w:pPr>
      <w:r>
        <w:t xml:space="preserve">Вывод: при двух регрессионных циклах в месяц базовый MVP-suite окупается примерно за </w:t>
      </w:r>
      <w:r>
        <w:rPr>
          <w:lang w:val="en-US"/>
        </w:rPr>
        <w:t xml:space="preserve">13  </w:t>
      </w:r>
      <w:r>
        <w:rPr>
          <w:lang w:val="ru-RU"/>
        </w:rPr>
        <w:t xml:space="preserve">месяцев</w:t>
      </w:r>
      <w:r>
        <w:t xml:space="preserve">. Если применить коэффициент риска 2, ориентир становится около </w:t>
      </w:r>
      <w:r>
        <w:rPr>
          <w:lang w:val="ru-RU"/>
        </w:rPr>
        <w:t xml:space="preserve">26</w:t>
      </w:r>
      <w:r>
        <w:t xml:space="preserve"> </w:t>
      </w:r>
      <w:r>
        <w:rPr>
          <w:lang w:val="ru-RU"/>
        </w:rPr>
        <w:t xml:space="preserve">месяцев</w:t>
      </w:r>
      <w:r>
        <w:t xml:space="preserve">. </w:t>
      </w:r>
      <w:r/>
    </w:p>
    <w:p w14:paraId="59EADD29">
      <w:pPr>
        <w:pBdr/>
        <w:spacing w:after="120"/>
        <w:ind/>
        <w:rPr/>
      </w:pPr>
      <w:r>
        <w:t xml:space="preserve">Если набор автотестов живет дольше </w:t>
      </w:r>
      <w:r>
        <w:rPr>
          <w:lang w:val="ru-RU"/>
        </w:rPr>
        <w:t xml:space="preserve">2 лет</w:t>
      </w:r>
      <w:r>
        <w:t xml:space="preserve">, эффект от автоматизации становится положительным</w:t>
      </w:r>
      <w:r>
        <w:rPr>
          <w:lang w:val="ru-RU"/>
        </w:rPr>
        <w:t xml:space="preserve">.</w:t>
      </w:r>
      <w:r/>
    </w:p>
    <w:p w14:paraId="00000091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6" w:name="toc_sec_0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Стек автоматизации</w:t>
      </w:r>
      <w:r>
        <w:rPr>
          <w:rtl w:val="0"/>
        </w:rPr>
      </w:r>
      <w:bookmarkEnd w:id="1006"/>
      <w:r/>
      <w:r/>
    </w:p>
    <w:tbl>
      <w:tblPr>
        <w:tblStyle w:val="906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3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Компонент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Выбор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Обоснование 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Язык программирования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6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Python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4D855F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В команде уже есть 3 инженера-автоматизатора с экспертизой в Python, поэтому не требуется дополнительное обучение и можно быстрее развивать автотесты.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545A7D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Python хорошо поддерживает pytest, Selenium/Playwright, API-тесты, Allure и работу с внешними сервисами.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197477B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Test runner</w:t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33E76381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Pytest</w:t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:rtl w:val="0"/>
                <w14:ligatures w14:val="none"/>
              </w:rPr>
            </w:r>
          </w:p>
        </w:tc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  <w:vMerge w:val="restart"/>
          </w:tcPr>
          <w:p w14:paraId="2B1A4A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Для организации автотестов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pytest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потому что он проще и гибче стандартного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unittest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и лучше подходит для масштабируемого test framework. В отличие от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unittest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pytest дает более удобные фикстуры, параметризацию, маркировку тестов и лаконичный синтаксис. По сравнению с BDD-фреймворками вроде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behave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pytest меньше усложняет структуру проекта и лучше подходит для технических автотестов.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8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UI automation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9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Playwright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Playwright выбран как более подходящий инструмент для нашего проекта по сравнению с Selenium и Cypress. По сравнению с Selenium он дает более стабильную работу с UI за счет auto-wait, удобных локаторов и встроенных инструментов диагностики: trace, screensh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ots и video. Cypress силен для frontend-тестирования в JavaScript/TypeScript-стеке, но для нашей команды менее удобен, потому что основной стек автоматизации — Python. Поэтому Playwright лучше соответствует текущим компетенциям команды, проще интегрируется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в существующий Python-фреймворк и хорошо подходит для запуска в TeamCity.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B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API automation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C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361500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Для автоматизации API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как основной HTTP-клиент в Python.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20E5AB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хорошо подходит для REST API-тестирования, так как предоставляет простой и понятный интерфейс для выполнения HTTP-запросов, работы с headers, query parameters, body, JSON, cookies, sessions и авторизацией.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54581B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Python-based automation framework и позволяет быстро реализовывать переис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пользуемые API-клиенты для тестов.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479C84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Альтернативы, например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httpx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могут быть рассмотрены при необходимости async-запросов или HTTP/2, но для стандартной REST API-автоматизации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requests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является более простым, стабильным и достаточным решением.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CI/CD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  <w:lang w:val="en-US"/>
              </w:rPr>
              <w:t xml:space="preserve">GitHub Actions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67846F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Для CI/CD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GitHub Actions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так как проект уже размещен в GitHub. Это позволяет настраивать pipeline без дополнительной интеграции с внешними CI-системами и не усложнять инфраструктуру проекта.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5DB68E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По сравнению с альтернативами вроде TeamCity, Jenkins или GitLab CI, GitHub Actions в нашем случае требует ме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ньше усилий на внедрение: репозиторий, workflow, secrets, pull requests и результаты запусков находятся в одной экосистеме.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26D6B1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Также важным фактором является стоимость: для текущих задач GitHub Actions можно использовать в рамках доступного бесплатного лимита, без необходимости отдельно разворачивать и поддерживать CI-сервер.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000000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4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Test reports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5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  <w:t xml:space="preserve">Allure Reports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60C9BB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ля отчетности выбран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Allure Reports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, потому что он дает более наглядный и удобный анализ результатов автотестов по сравнению с базовыми JUnit/XML-отчетами и стандартными отчетами CI.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3D7098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JUnit/XML хорошо подходит для передачи статусов в CI, но плохо читается человеком и не дает удобной детализации по шагам, вложениям и причинам падений. Встроенные отчеты GitHub Actions показывают факт успешного или неуспешного запуска, но недостаточны для 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глубокого анализа автотестов.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1103A69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Allure позволяет видеть структуру test suites, шаги выполнения, ошибки, stack trace, screenshots, logs и attachments в одном отчете. Это ускоряет разбор падений и делает результаты автотестов понятными не только automation-инженерам, но и разработчикам, QA</w:t>
            </w:r>
            <w:r>
              <w:rPr>
                <w:rFonts w:ascii="Calibri" w:hAnsi="Calibri" w:eastAsia="Calibri" w:cs="Calibri"/>
                <w:sz w:val="18"/>
                <w:szCs w:val="18"/>
              </w:rPr>
              <w:t xml:space="preserve"> и менеджерам.</w:t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  <w:p w14:paraId="000000A6">
            <w:pPr>
              <w:pBdr/>
              <w:spacing w:after="0" w:line="252" w:lineRule="auto"/>
              <w:ind/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pPr>
            <w:r>
              <w:rPr>
                <w:rFonts w:ascii="Calibri" w:hAnsi="Calibri" w:eastAsia="Calibri" w:cs="Calibri"/>
                <w:sz w:val="18"/>
                <w:szCs w:val="18"/>
                <w:rtl w:val="0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  <w:r>
              <w:rPr>
                <w:rFonts w:ascii="Calibri" w:hAnsi="Calibri" w:eastAsia="Calibri" w:cs="Calibri"/>
                <w:sz w:val="18"/>
                <w:szCs w:val="18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  <w:lang w:val="en-US"/>
              </w:rPr>
              <w:t xml:space="preserve">TODO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8" w:name="toc_sec_framework_architecture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Архитектура фреймворка автоматизации</w:t>
      </w:r>
      <w:r>
        <w:rPr>
          <w:rtl w:val="0"/>
        </w:rPr>
      </w:r>
      <w:bookmarkEnd w:id="1018"/>
      <w:r/>
      <w:r/>
    </w:p>
    <w:p>
      <w:pPr>
        <w:pBdr/>
        <w:spacing/>
        <w:ind/>
        <w:rPr/>
      </w:pPr>
      <w:r>
        <w:t xml:space="preserve">Фреймворк д</w:t>
      </w:r>
      <w:r>
        <w:t xml:space="preserve">елим на слои, чтобы тесты оставались читаемыми, а изменения в REST API, UI-локаторах, тестовых данных или окружении не требовали массовой правки сценариев. </w:t>
      </w:r>
      <w:r/>
    </w:p>
    <w:p w14:paraId="5D55BD58">
      <w:pPr>
        <w:pBdr/>
        <w:spacing/>
        <w:ind/>
        <w:rPr/>
      </w:pPr>
      <w:r>
        <w:t xml:space="preserve">Главное правило: зависимости идут сверху вниз, а нижние слои не импортируют тесты и бизнес-сценарии.</w:t>
      </w:r>
      <w:r/>
    </w:p>
    <w:tbl>
      <w:tblPr>
        <w:tblStyle w:val="906"/>
        <w:jc w:val="center"/>
        <w:tblW w:w="9360" w:type="dxa"/>
        <w:tblCellMar>
          <w:left w:w="100" w:type="dxa"/>
          <w:top w:w="100" w:type="dxa"/>
          <w:right w:w="100" w:type="dxa"/>
          <w:bottom w:w="10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>
        <w:trPr>
          <w:tblHeader/>
        </w:trPr>
        <w:tc>
          <w:tcPr>
            <w:shd w:val="clear" w:color="auto" w:fill="f2f2f2"/>
            <w:tcBorders/>
            <w:tcW w:w="2736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0"/>
              </w:rPr>
              <w:t xml:space="preserve">Слой</w:t>
            </w:r>
            <w:r/>
          </w:p>
        </w:tc>
        <w:tc>
          <w:tcPr>
            <w:shd w:val="clear" w:color="auto" w:fill="f2f2f2"/>
            <w:tcBorders/>
            <w:tcW w:w="6624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b/>
                <w:sz w:val="20"/>
              </w:rPr>
              <w:t xml:space="preserve">Что отвечает и где живет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1. Тесты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tests/ui, tests/api, tests/e2e. Описывают поведение и expected result; используют steps и fixtures; не содержат прямых HTTP-запросов, CSS/XPath-локаторов и тяжелой подготовки данных.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2. Шаги / business flows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steps или flows. Собирают продуктовые операции TeamCity в понятные методы: setup, authorize_agent, create_project_with_build_config, run_build_and_wait_result.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3. API clients и Page Objects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clients и pages. Общаются с TeamCity через REST API или Playwright; скрывают endpoints, payloads, локаторы, ожидания и retry-логику.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4. Модели и схемы данных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models или schemas. Описывают Project, BuildType, Build, Agent, User, Role, Permission, статусы и контракты ответов.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5. Fixtures, test data и cleanup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pytest fixtures и test data helpers. Готовят admin/limited users, tokens, уникальные имена, seed data; чистят данные через REST API или reset Docker-окружения.</w:t>
            </w:r>
            <w:r/>
          </w:p>
        </w:tc>
      </w:tr>
      <w:tr>
        <w:trPr/>
        <w:tc>
          <w:tcPr>
            <w:tcBorders/>
            <w:tcW w:w="2736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6. Инфраструктура, конфигурация и отчеты</w:t>
            </w:r>
            <w:r/>
          </w:p>
        </w:tc>
        <w:tc>
          <w:tcPr>
            <w:tcBorders/>
            <w:tcW w:w="6624" w:type="dxa"/>
            <w:vAlign w:val="center"/>
          </w:tcPr>
          <w:p>
            <w:pPr>
              <w:pBdr/>
              <w:spacing w:after="40" w:before="0" w:line="252" w:lineRule="auto"/>
              <w:ind/>
              <w:jc w:val="left"/>
              <w:rPr/>
            </w:pPr>
            <w:r>
              <w:rPr>
                <w:sz w:val="19"/>
              </w:rPr>
              <w:t xml:space="preserve">config, bootstrap, reporting. Env vars, Docker helpers, readiness checks, logging, Allure/JUnit reports, screenshots/traces для UI.</w:t>
            </w:r>
            <w:r/>
          </w:p>
        </w:tc>
      </w:tr>
    </w:tbl>
    <w:p w14:paraId="441144B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UI и API остаются в одном репозитории, потому что используют общие модели, fixtures, конфигурацию и отчетность.</w:t>
      </w:r>
      <w:r>
        <w:rPr>
          <w:highlight w:val="none"/>
        </w:rPr>
      </w:r>
      <w:r/>
    </w:p>
    <w:p w14:paraId="61FB08D6">
      <w:pPr>
        <w:pBdr/>
        <w:spacing/>
        <w:ind/>
        <w:rPr>
          <w:highlight w:val="none"/>
        </w:rPr>
      </w:pPr>
      <w:r>
        <w:t xml:space="preserve"> Разделение выполняется пакетами и ответственностями: UI-код не дублирует API-подготовку данных, а API-клиенты не зависят от Page Objects.</w:t>
      </w:r>
      <w:r>
        <w:rPr>
          <w:highlight w:val="none"/>
        </w:rPr>
      </w:r>
      <w:r>
        <w:rPr>
          <w:highlight w:val="none"/>
        </w:rPr>
      </w:r>
    </w:p>
    <w:p w14:paraId="4C40EB7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97B4A2C">
      <w:pPr>
        <w:pBdr/>
        <w:spacing/>
        <w:ind/>
        <w:rPr>
          <w:highlight w:val="none"/>
        </w:rPr>
      </w:pPr>
      <w:r>
        <w:rPr>
          <w:highlight w:val="none"/>
          <w:lang w:val="en-US"/>
        </w:rPr>
        <w:t xml:space="preserve">TODO UML</w:t>
      </w:r>
      <w:r>
        <w:rPr>
          <w:highlight w:val="none"/>
        </w:rPr>
      </w:r>
    </w:p>
    <w:p w14:paraId="5B2E2E8A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highlight w:val="none"/>
        </w:rPr>
      </w:r>
      <w:r>
        <w:rPr>
          <w:highlight w:val="none"/>
        </w:rPr>
      </w:r>
      <w:bookmarkStart w:id="1007" w:name="toc_sec_07"/>
      <w:r>
        <w:rPr>
          <w:highlight w:val="none"/>
        </w:rPr>
      </w:r>
      <w:r/>
    </w:p>
    <w:p w14:paraId="000000AB">
      <w:pPr>
        <w:pStyle w:val="894"/>
        <w:keepNext w:val="true"/>
        <w:pageBreakBefore w:val="false"/>
        <w:pBdr/>
        <w:spacing w:after="120" w:before="240"/>
        <w:ind/>
        <w:rPr>
          <w:highlight w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Тестовое окружение</w:t>
      </w:r>
      <w:r>
        <w:rPr>
          <w:rtl w:val="0"/>
        </w:rPr>
      </w:r>
      <w:bookmarkEnd w:id="1007"/>
      <w:r>
        <w:rPr>
          <w:highlight w:val="none"/>
        </w:rPr>
      </w:r>
      <w:r>
        <w:rPr>
          <w:highlight w:val="none"/>
        </w:rPr>
      </w:r>
    </w:p>
    <w:tbl>
      <w:tblPr>
        <w:tblStyle w:val="907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4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Окружение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Состав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Назначение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Local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Быстрый запуск P0/P1 автотестов на PR.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Production-like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PostgreSQL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DB Compatibility Nightly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Server + full Agent + MySQL/MariaDB/MS SQL/Oracle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Smoke-проверка совместимости с поддерживаемыми database backends.</w:t>
            </w:r>
            <w:r>
              <w:rPr>
                <w:rtl w:val="0"/>
              </w:rPr>
            </w:r>
            <w:r/>
          </w:p>
        </w:tc>
      </w:tr>
    </w:tbl>
    <w:p w14:paraId="000000BC">
      <w:pPr>
        <w:pStyle w:val="894"/>
        <w:keepNext w:val="true"/>
        <w:pageBreakBefore w:val="false"/>
        <w:pBdr/>
        <w:spacing w:after="120" w:before="240"/>
        <w:ind/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</w:p>
    <w:p w14:paraId="000000BD">
      <w:pPr>
        <w:pStyle w:val="894"/>
        <w:keepNext w:val="true"/>
        <w:pageBreakBefore w:val="false"/>
        <w:pBdr/>
        <w:spacing w:after="120" w:before="240"/>
        <w:ind/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Архитектура локального стенда: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 TODO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14:ligatures w14:val="none"/>
        </w:rPr>
      </w:r>
    </w:p>
    <w:p w14:paraId="7D7FDA50">
      <w:pPr>
        <w:pBdr/>
        <w:spacing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</w:r>
      <w:r>
        <w:rPr>
          <w:rFonts w:ascii="Calibri" w:hAnsi="Calibri" w:eastAsia="Calibri" w:cs="Calibri"/>
          <w:b/>
          <w:bCs/>
          <w:color w:val="2e74b5"/>
          <w:sz w:val="32"/>
          <w:szCs w:val="32"/>
        </w:rPr>
      </w:r>
      <w:r/>
    </w:p>
    <w:p w14:paraId="000000C2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8" w:name="toc_sec_08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Критичный MVP-сценарий автоматизации</w:t>
      </w:r>
      <w:r>
        <w:rPr>
          <w:rtl w:val="0"/>
        </w:rPr>
      </w:r>
      <w:bookmarkEnd w:id="1008"/>
      <w:r>
        <w:rPr>
          <w:lang w:val="en-US"/>
        </w:rPr>
        <w:t xml:space="preserve"> TODO</w:t>
      </w:r>
      <w:r/>
    </w:p>
    <w:p w14:paraId="000000C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  <w:r>
        <w:rPr>
          <w:rtl w:val="0"/>
        </w:rPr>
      </w:r>
      <w:r/>
    </w:p>
    <w:tbl>
      <w:tblPr>
        <w:tblStyle w:val="908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5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Шаг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Ожидаемый результат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проверки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TeamCity Server и full Agent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Контейнеры запущены, сервер доступен на 8111.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Docker/Bootstrap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Пройти startup confirmation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TeamCity принимает первый запуск с новым data directory.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Выбрать Internal database / HSQLDB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Локальный стенд проходит database setup.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первого администратора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Admin создан, возможен login.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Проверить базовые роли и права доступа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выполняет критичные admin-действия; ограниченный пользователь не получает доступ к запрещенным действиям.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UI/API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Авторизовать local-agent-1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переходит из Unauthorized в Connected/Idle.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UI/API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project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Project появляется в TeamCity.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build configuration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configuration создана и готова к запуску.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Запустить простой build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стартует на agent и завершается ожидаемым статусом.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API/E2E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Проверить build result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Статус build доступен через REST API и UI.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API/UI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0E2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E3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9" w:name="toc_sec_09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UI Automation Scope</w:t>
      </w:r>
      <w:r>
        <w:rPr>
          <w:rtl w:val="0"/>
        </w:rPr>
      </w:r>
      <w:bookmarkEnd w:id="1009"/>
      <w:r>
        <w:rPr>
          <w:lang w:val="en-US"/>
        </w:rPr>
        <w:t xml:space="preserve"> TODO</w:t>
      </w:r>
      <w:r/>
    </w:p>
    <w:p w14:paraId="000000E4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UI автоматизация покрывает только пользовательские flows, которые невозможно надежно заменить API 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на первом этапе: startup confirmation, database setup, создание первого администратора, login и authorization первого agent. Детальная подготовка данных, создание project/build configuration, запуск build и проверка статусов выполняются на уровне REST API.</w:t>
      </w:r>
      <w:r>
        <w:rPr>
          <w:rtl w:val="0"/>
        </w:rPr>
      </w:r>
      <w:r/>
    </w:p>
    <w:p w14:paraId="000000E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0" w:name="toc_sec_10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Стратегия тестовых данных</w:t>
      </w:r>
      <w:r>
        <w:rPr>
          <w:rtl w:val="0"/>
        </w:rPr>
      </w:r>
      <w:bookmarkEnd w:id="1010"/>
      <w:r/>
      <w:r/>
    </w:p>
    <w:p w14:paraId="000000E6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  <w:r>
        <w:rPr>
          <w:rtl w:val="0"/>
        </w:rPr>
      </w:r>
      <w:r/>
    </w:p>
    <w:p w14:paraId="000000E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каждого теста создавать уникальные project/build configuration names с префиксом автотестов.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Основная подготовка данных выполняется через REST API, UI используется только там, где проверяется сам пользовательский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Cleanup выполнять через REST API либо полным reset окружения в Docker.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Не хранить реальные секреты, пароли и access tokens в репозитории.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CI использовать временные credentials из переменных окружения.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09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6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теста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Источник данных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Smoke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Setup wizard + минимальные данные, созданные в самом UI flow.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Tests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API-generated projects, build configurations, builds, tokens.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E2E Tests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Комбинация UI bootstrap + API setup + Docker reset/cleanup.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 о финальном наборе seed data для внешних БД.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Roles / Permissions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user + ограниченные test users; финальная матрица ролей уточняется TODO.</w:t>
            </w:r>
            <w:r/>
          </w:p>
        </w:tc>
      </w:tr>
    </w:tbl>
    <w:p w14:paraId="000000F7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F8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1" w:name="toc_sec_1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Тестовые сценарии и скоуп</w:t>
      </w:r>
      <w:r>
        <w:rPr>
          <w:rtl w:val="0"/>
        </w:rPr>
      </w:r>
      <w:bookmarkEnd w:id="1011"/>
      <w:r>
        <w:rPr>
          <w:lang w:val="en-US"/>
        </w:rPr>
        <w:t xml:space="preserve"> TODO</w:t>
      </w:r>
      <w:r/>
    </w:p>
    <w:tbl>
      <w:tblPr>
        <w:tblStyle w:val="910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7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Группа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In Scope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Out of Scope на первые 4 недели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Initial Setup / First Admin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Startup confirmation, выбор HSQLDB, создание admin, login.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нестандартные enterprise auth flows.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Roles / Permissions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full access, ограниченный пользователь, negative checks для project, build configuration, build run и agent authorization.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Полная матрица всех ролей, групп и enterprise auth flows.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Management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Unauthorized agent, authorization, connected/idle state.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Сложные agent pools, cloud agents, масштабирование agents.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Core REST API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Server info, projects, build configurations, builds, statuses.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Полное покрытие всех REST endpoints.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Execution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Простой build, success/failure status, logs.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runners и plugin-specific behavior.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HSQLDB fast path, PostgreSQL production-like smoke.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regression на каждой БД.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 Pipeline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стенд, bootstrap, запустить suites, собрать отчет.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Полная release инфраструктура и production deployment.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Security / Authorization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Admin login, token usage, agent authorization; RBAC вынесен в отдельную группу.</w:t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pentest/security audit.</w:t>
            </w:r>
            <w:r>
              <w:rPr>
                <w:rFonts w:ascii="Calibri" w:hAnsi="Calibri"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Ссылка на тест-кейсы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информации.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 или файл с ручными тест-кейсами пока не указан.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114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1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2" w:name="toc_sec_1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Поэтапный план</w:t>
      </w:r>
      <w:r>
        <w:rPr>
          <w:rtl w:val="0"/>
        </w:rPr>
      </w:r>
      <w:bookmarkEnd w:id="1012"/>
      <w:r>
        <w:rPr>
          <w:lang w:val="en-US"/>
        </w:rPr>
        <w:t xml:space="preserve"> TODO</w:t>
      </w:r>
      <w:r/>
    </w:p>
    <w:tbl>
      <w:tblPr>
        <w:tblStyle w:val="911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8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Неделя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Фокус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Результат</w:t>
            </w:r>
            <w:r>
              <w:rPr>
                <w:rFonts w:ascii="Calibri" w:hAnsi="Calibri"/>
                <w:b/>
                <w:sz w:val="18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1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Ручные сценарии, тест-дизайн, тестируемость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Описаны P0/P1 сценарии: setup, first admin, roles/permissions, agent, project, build configuration, build run, REST checks. Зафиксированы риски и TODO.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2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автотесты + базовый framework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Автоматизирован критичный UI flow: startup confirmation, database selection, first admin, login, agent authorization, базовые role-based UI checks.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3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автотесты + build lifecycle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 w:val="0"/>
                <w:sz w:val="18"/>
              </w:rPr>
              <w:t xml:space="preserve">Автоматизированы REST API сценарии: server readiness, project, build configuration, run build, build status, permission negative checks, cleanup.</w:t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4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Pipeline, bootstrap, отчеты</w:t>
            </w:r>
            <w:r>
              <w:rPr>
                <w:rFonts w:ascii="Calibri" w:hAnsi="Calibri"/>
                <w:sz w:val="18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Собран CI flow: поднятие стенда, bootstrap, запуск UI/API suites, отчетность и стабилизация.</w:t>
            </w:r>
            <w:r>
              <w:rPr>
                <w:rFonts w:ascii="Calibri" w:hAnsi="Calibri"/>
                <w:sz w:val="18"/>
              </w:rPr>
            </w:r>
            <w:r/>
          </w:p>
        </w:tc>
      </w:tr>
    </w:tbl>
    <w:p w14:paraId="00000125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26">
      <w:pPr>
        <w:pStyle w:val="894"/>
        <w:keepNext w:val="true"/>
        <w:pageBreakBefore w:val="false"/>
        <w:pBdr/>
        <w:spacing w:after="120" w:before="240"/>
        <w:ind/>
        <w:rPr/>
      </w:pPr>
      <w:r>
        <w:t>Необходимые ресурсы</w:t>
      </w:r>
    </w:p>
    <w:p>
      <w:pPr>
        <w:spacing w:after="160"/>
      </w:pPr>
      <w:r>
        <w:t>Для реализации MVP автоматизации внешние ресурсы не требуются. Все работы выполняются силами QA Automation Engineers: выбор TMS, описание тестовых сценариев, автоматизация API/UI проверок, настройка CI/CD, отчетности, quality gates и уведомлений.</w:t>
      </w:r>
    </w:p>
    <w:tbl>
      <w:tblPr>
        <w:tblStyle w:val="91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9">
          <w:tblGrid>
            <w:gridCol w:w="3264"/>
            <w:gridCol w:w="3264"/>
            <w:gridCol w:w="3264"/>
          </w:tblGrid>
        </w:tblGridChange>
      </w:tblGrid>
      <w:tr>
        <w:trPr>
          <w:tblHeader/>
          <w:cantSplit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Неделя / задача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Ответственный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Ожидание / результат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Неделя 1: выбор TMS и описание критичных тестовых сценариев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Выбрана TMS для хранения тест-кейсов. Описаны критичные P0/P1 сценарии TeamCity: first start, создание администратора, роли и права доступа, agent authorization, project, build configuration, build run, build result. Для каждого сценария указаны шаги, expected result, приоритет и уровень автоматизации: API, UI или E2E.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Неделя 2: автоматизация API-сценариев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Реализованы базовые API автотесты для Core REST API: readiness/server info, создание project, создание build configuration, запуск build, получение build status, negative checks для авторизации и прав доступа. Подготовлены API-клиенты, fixtures, генерация уникальных тестовых данных и cleanup.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Неделя 3: автоматизация UI-сценариев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Реализованы UI автотесты только для критичных пользовательских flows, которые нельзя надежно заменить API: startup confirmation, database setup, создание первого администратора, login, authorization agent. Для UI-тестов настроены стабильные локаторы, ожидания, screenshots/video/trace для разбора падений.</w:t>
            </w:r>
          </w:p>
        </w:tc>
      </w:tr>
      <w:tr>
        <w:trPr>
          <w:cantSplit/>
        </w:trPr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b/>
                <w:sz w:val="17"/>
              </w:rPr>
              <w:t>Неделя 4: настройка CI/CD, отчетности и quality gates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type="dxa" w:w="3264"/>
            <w:vAlign w:val="center"/>
          </w:tcPr>
          <w:p>
            <w:pPr>
              <w:spacing w:after="0" w:line="240" w:lineRule="auto"/>
            </w:pPr>
            <w:r>
              <w:rPr>
                <w:sz w:val="17"/>
              </w:rPr>
              <w:t>Настроен pipeline, который поднимает TeamCity стенд, выполняет bootstrap, запускает API/UI/E2E автотесты и публикует результаты. Подключен Allure Report с метриками pass rate, fail rate, duration, flaky failures, failed tests и skipped tests. Настроены quality gates автотестов: pipeline не считается успешным, если падают критичные P0/P1 проверки или pass rate ниже заданного порога. Добавлены уведомления в Telegram через bot: статус прогона, ссылка на отчет, passed/failed/skipped и список критичных падений.</w:t>
            </w:r>
          </w:p>
        </w:tc>
      </w:tr>
    </w:tbl>
    <w:p w14:paraId="0000013C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4E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4F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5" w:name="toc_sec_1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Риски</w:t>
      </w:r>
      <w:r>
        <w:rPr>
          <w:rtl w:val="0"/>
        </w:rPr>
      </w:r>
      <w:bookmarkEnd w:id="1015"/>
      <w:r/>
      <w:r/>
    </w:p>
    <w:tbl>
      <w:tblPr>
        <w:tblStyle w:val="91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0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18"/>
              </w:rPr>
              <w:t xml:space="preserve">Риск</w:t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18"/>
              </w:rPr>
              <w:t xml:space="preserve">Влияние</w:t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18"/>
              </w:rPr>
              <w:t xml:space="preserve">Как минимизировать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Состояние data directory и agent conf делает прогоны невоспроизводимыми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Грязные teamcity-data или teamcity-agent-conf могут скрыть ошибки first start, менять результат тестов и создавать зависимость от предыдущего запуска.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Разделить fresh/reuse сценарии, явно сбрасывать Docker-состояние для E2E, использовать уникальные имена сущностей и проверять cleanup после тестов.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Fast CI на HSQLDB не покрывает production-like поведение внешних БД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Ошибки схемы, миграций, блокировок или SQL-совместимости с PostgreSQL и другими БД могут проявиться поздно.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Оставить HSQLDB для быстрого PR-контурa, добавить PostgreSQL production-like job на main/release и nightly compatibility smoke для MySQL, MariaDB, MS SQL Server и Oracle.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UI </w:t>
            </w:r>
            <w:r>
              <w:rPr>
                <w:b/>
                <w:sz w:val="17"/>
                <w:lang w:val="ru-RU"/>
              </w:rPr>
              <w:t xml:space="preserve">автотесты становятся </w:t>
            </w:r>
            <w:r>
              <w:rPr>
                <w:b/>
                <w:sz w:val="17"/>
                <w:lang w:val="en-US"/>
              </w:rPr>
              <w:t xml:space="preserve">flaky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P0 UI flow снижает доверие к автотестам, ухудшает Pass Rate и мешает достигнуть Flaky Rate &lt;= 3%.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Оставить UI только для незаменимых flows, использовать Playwright auto-wait, trace, screenshots/video, стабильные локаторы и переносить подготовку данных в API.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Матрица ролей и прав доступа не зафиксирована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Roles / Permissions suite может проверить только поверхностный happy path и пропустить лишние права у ограниченного пользователя.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До автоматизации согласовать минимальную RBAC-матрицу: admin и limited user. Добавить positive admin checks и negative checks для project, build configuration, build run и agent authorization.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Тестовые данные конфликтуют между прогонами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Повторные project/build configuration/user/token names создают ложные падения, зависимость от порядка тестов и невозможность надежного rerun.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Создавать уникальные имена с префиксом автотестов, изолировать fixtures, чистить данные через REST API или полный Docker reset, проверять результат cleanup.</w:t>
            </w:r>
            <w:r/>
          </w:p>
        </w:tc>
      </w:tr>
      <w:tr>
        <w:trPr>
          <w:cantSplit/>
        </w:trPr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b/>
                <w:sz w:val="17"/>
              </w:rPr>
              <w:t xml:space="preserve">Нет готовых ручных тест-кейсов и выбранной TMS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Команда может автоматизировать технически удобные, но не самые важные сценарии; P0/P1 coverage будет трудно доказать.</w:t>
            </w:r>
            <w:r/>
          </w:p>
        </w:tc>
        <w:tc>
          <w:tcPr>
            <w:tcBorders/>
            <w:tcW w:w="3264" w:type="dxa"/>
            <w:vAlign w:val="center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sz w:val="17"/>
              </w:rPr>
              <w:t xml:space="preserve">Неделю 1 использовать для тест-дизайна, зафиксировать P0/P1 scope, связать автотесты с тест-кейсами после выбора TMS и пересматривать покрытие на demo.</w:t>
            </w:r>
            <w:r/>
          </w:p>
        </w:tc>
      </w:tr>
    </w:tbl>
    <w:p w14:paraId="0000016B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6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6" w:name="toc_sec_1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Отслеживание процесса</w:t>
      </w:r>
      <w:r>
        <w:rPr>
          <w:rtl w:val="0"/>
        </w:rPr>
      </w:r>
      <w:bookmarkEnd w:id="1016"/>
      <w:r/>
      <w:r/>
    </w:p>
    <w:p w14:paraId="0000016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Еженедельный demo-результат по завершенной части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6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Отчетность автотестов в CI: pass/fail, duration, flaky failures, логи и screenshots для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3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Структура команды тестирования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en-US"/>
        </w:rPr>
        <w:t xml:space="preserve"> TODO</w:t>
      </w: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  <w:lang w:val="ru-RU"/>
        </w:rPr>
      </w:r>
      <w:r/>
    </w:p>
    <w:tbl>
      <w:tblPr>
        <w:tblStyle w:val="915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2448"/>
        <w:tblGridChange w:id="1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ffffff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66F8DE2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ФИО</w:t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Роль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Контакты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5870D7D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6A8767A8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C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0" w:type="auto"/>
            <w:vAlign w:val="center"/>
          </w:tcPr>
          <w:p w14:paraId="3AD3EC10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14:ligatures w14:val="none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5FED0C3A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Email:</w:t>
            </w:r>
            <w:hyperlink r:id="rId9" w:tooltip="mailto:ekaterina-konchina@yandex.ru" w:history="1">
              <w:r>
                <w:rPr>
                  <w:rFonts w:ascii="Calibri" w:hAnsi="Calibri" w:eastAsia="Calibri" w:cs="Calibri"/>
                  <w:sz w:val="19"/>
                  <w:szCs w:val="19"/>
                  <w:rtl w:val="0"/>
                </w:rPr>
                <w:t xml:space="preserve">ekaterina-konchina@yandex.ru</w:t>
              </w:r>
            </w:hyperlink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  <w:p w14:paraId="5A1F41FC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Github: ekonchina</w:t>
            </w:r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  <w:p w14:paraId="0000017F">
            <w:pPr>
              <w:pBdr/>
              <w:spacing w:after="0" w:line="259" w:lineRule="auto"/>
              <w:ind/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</w:r>
            <w:r>
              <w:rPr>
                <w:rFonts w:ascii="Calibri" w:hAnsi="Calibri" w:eastAsia="Calibri" w:cs="Calibri"/>
                <w:sz w:val="19"/>
                <w:szCs w:val="19"/>
              </w:rPr>
            </w:r>
            <w:r>
              <w:rPr>
                <w:rFonts w:ascii="Calibri" w:hAnsi="Calibri" w:eastAsia="Calibri" w:cs="Calibri"/>
                <w:sz w:val="19"/>
                <w:szCs w:val="19"/>
                <w14:ligatures w14:val="none"/>
              </w:rPr>
            </w:r>
          </w:p>
        </w:tc>
      </w:tr>
    </w:tbl>
    <w:p w14:paraId="00000180">
      <w:pPr>
        <w:pageBreakBefore w:val="false"/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panose1 w:val="000005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n" w:eastAsia="zh-CN" w:bidi="ar-SA"/>
      </w:rPr>
    </w:rPrDefault>
    <w:pPrDefault>
      <w:pPr>
        <w:pBdr/>
        <w:spacing w:after="12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Table Grid Light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8">
    <w:name w:val="Heading 7"/>
    <w:basedOn w:val="893"/>
    <w:next w:val="893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9">
    <w:name w:val="Heading 8"/>
    <w:basedOn w:val="893"/>
    <w:next w:val="893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0">
    <w:name w:val="Heading 9"/>
    <w:basedOn w:val="893"/>
    <w:next w:val="893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1" w:default="1">
    <w:name w:val="Default Paragraph Font"/>
    <w:uiPriority w:val="1"/>
    <w:semiHidden/>
    <w:unhideWhenUsed/>
    <w:pPr>
      <w:pBdr/>
      <w:spacing/>
      <w:ind/>
    </w:pPr>
  </w:style>
  <w:style w:type="numbering" w:styleId="842" w:default="1">
    <w:name w:val="No List"/>
    <w:uiPriority w:val="99"/>
    <w:semiHidden/>
    <w:unhideWhenUsed/>
    <w:pPr>
      <w:pBdr/>
      <w:spacing/>
      <w:ind/>
    </w:pPr>
  </w:style>
  <w:style w:type="character" w:styleId="843">
    <w:name w:val="Heading 1 Char"/>
    <w:basedOn w:val="841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1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1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1"/>
    <w:link w:val="89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1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1"/>
    <w:link w:val="89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1"/>
    <w:link w:val="8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1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1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Title Char"/>
    <w:basedOn w:val="841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Subtitle Char"/>
    <w:basedOn w:val="841"/>
    <w:link w:val="9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3"/>
    <w:next w:val="893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1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893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8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8">
    <w:name w:val="Intense Quote"/>
    <w:basedOn w:val="893"/>
    <w:next w:val="893"/>
    <w:link w:val="8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9">
    <w:name w:val="Intense Quote Char"/>
    <w:basedOn w:val="841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0">
    <w:name w:val="Intense Reference"/>
    <w:basedOn w:val="8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1">
    <w:name w:val="No Spacing"/>
    <w:basedOn w:val="893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8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1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1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3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1"/>
    <w:link w:val="867"/>
    <w:uiPriority w:val="99"/>
    <w:pPr>
      <w:pBdr/>
      <w:spacing/>
      <w:ind/>
    </w:pPr>
  </w:style>
  <w:style w:type="paragraph" w:styleId="869">
    <w:name w:val="Footer"/>
    <w:basedOn w:val="893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1"/>
    <w:link w:val="869"/>
    <w:uiPriority w:val="99"/>
    <w:pPr>
      <w:pBdr/>
      <w:spacing/>
      <w:ind/>
    </w:pPr>
  </w:style>
  <w:style w:type="paragraph" w:styleId="871">
    <w:name w:val="Caption"/>
    <w:basedOn w:val="893"/>
    <w:next w:val="8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3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3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1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3"/>
    <w:next w:val="893"/>
    <w:uiPriority w:val="39"/>
    <w:unhideWhenUsed/>
    <w:pPr>
      <w:pBdr/>
      <w:spacing w:after="100"/>
      <w:ind/>
    </w:pPr>
  </w:style>
  <w:style w:type="paragraph" w:styleId="881">
    <w:name w:val="toc 2"/>
    <w:basedOn w:val="893"/>
    <w:next w:val="893"/>
    <w:uiPriority w:val="39"/>
    <w:unhideWhenUsed/>
    <w:pPr>
      <w:pBdr/>
      <w:spacing w:after="100"/>
      <w:ind w:left="220"/>
    </w:pPr>
  </w:style>
  <w:style w:type="paragraph" w:styleId="882">
    <w:name w:val="toc 3"/>
    <w:basedOn w:val="893"/>
    <w:next w:val="893"/>
    <w:uiPriority w:val="39"/>
    <w:unhideWhenUsed/>
    <w:pPr>
      <w:pBdr/>
      <w:spacing w:after="100"/>
      <w:ind w:left="440"/>
    </w:pPr>
  </w:style>
  <w:style w:type="paragraph" w:styleId="883">
    <w:name w:val="toc 4"/>
    <w:basedOn w:val="893"/>
    <w:next w:val="893"/>
    <w:uiPriority w:val="39"/>
    <w:unhideWhenUsed/>
    <w:pPr>
      <w:pBdr/>
      <w:spacing w:after="100"/>
      <w:ind w:left="660"/>
    </w:pPr>
  </w:style>
  <w:style w:type="paragraph" w:styleId="884">
    <w:name w:val="toc 5"/>
    <w:basedOn w:val="893"/>
    <w:next w:val="893"/>
    <w:uiPriority w:val="39"/>
    <w:unhideWhenUsed/>
    <w:pPr>
      <w:pBdr/>
      <w:spacing w:after="100"/>
      <w:ind w:left="880"/>
    </w:pPr>
  </w:style>
  <w:style w:type="paragraph" w:styleId="885">
    <w:name w:val="toc 6"/>
    <w:basedOn w:val="893"/>
    <w:next w:val="893"/>
    <w:uiPriority w:val="39"/>
    <w:unhideWhenUsed/>
    <w:pPr>
      <w:pBdr/>
      <w:spacing w:after="100"/>
      <w:ind w:left="1100"/>
    </w:pPr>
  </w:style>
  <w:style w:type="paragraph" w:styleId="886">
    <w:name w:val="toc 7"/>
    <w:basedOn w:val="893"/>
    <w:next w:val="893"/>
    <w:uiPriority w:val="39"/>
    <w:unhideWhenUsed/>
    <w:pPr>
      <w:pBdr/>
      <w:spacing w:after="100"/>
      <w:ind w:left="1320"/>
    </w:pPr>
  </w:style>
  <w:style w:type="paragraph" w:styleId="887">
    <w:name w:val="toc 8"/>
    <w:basedOn w:val="893"/>
    <w:next w:val="893"/>
    <w:uiPriority w:val="39"/>
    <w:unhideWhenUsed/>
    <w:pPr>
      <w:pBdr/>
      <w:spacing w:after="100"/>
      <w:ind w:left="1540"/>
    </w:pPr>
  </w:style>
  <w:style w:type="paragraph" w:styleId="888">
    <w:name w:val="toc 9"/>
    <w:basedOn w:val="893"/>
    <w:next w:val="893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1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3"/>
    <w:next w:val="893"/>
    <w:uiPriority w:val="99"/>
    <w:unhideWhenUsed/>
    <w:pPr>
      <w:pBdr/>
      <w:spacing w:after="0" w:afterAutospacing="0"/>
      <w:ind/>
    </w:pPr>
  </w:style>
  <w:style w:type="table" w:styleId="89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 w:default="1">
    <w:name w:val="Normal"/>
    <w:pPr>
      <w:pBdr/>
      <w:spacing/>
      <w:ind/>
    </w:pPr>
  </w:style>
  <w:style w:type="paragraph" w:styleId="894">
    <w:name w:val="Heading 1"/>
    <w:basedOn w:val="893"/>
    <w:next w:val="893"/>
    <w:pPr>
      <w:keepNext w:val="true"/>
      <w:keepLines w:val="true"/>
      <w:pBdr/>
      <w:spacing w:after="160" w:before="320"/>
      <w:ind/>
    </w:pPr>
    <w:rPr>
      <w:rFonts w:ascii="Calibri" w:hAnsi="Calibri" w:eastAsia="Calibri" w:cs="Calibri"/>
      <w:b/>
      <w:bCs/>
      <w:color w:val="2e74b5"/>
      <w:sz w:val="32"/>
      <w:szCs w:val="32"/>
    </w:rPr>
  </w:style>
  <w:style w:type="paragraph" w:styleId="895">
    <w:name w:val="Heading 2"/>
    <w:basedOn w:val="893"/>
    <w:next w:val="893"/>
    <w:pPr>
      <w:keepNext w:val="true"/>
      <w:keepLines w:val="true"/>
      <w:pBdr/>
      <w:spacing w:after="120" w:before="240"/>
      <w:ind/>
    </w:pPr>
    <w:rPr>
      <w:rFonts w:ascii="Calibri" w:hAnsi="Calibri" w:eastAsia="Calibri" w:cs="Calibri"/>
      <w:b/>
      <w:bCs/>
      <w:color w:val="2e74b5"/>
      <w:sz w:val="26"/>
      <w:szCs w:val="26"/>
    </w:rPr>
  </w:style>
  <w:style w:type="paragraph" w:styleId="896">
    <w:name w:val="Heading 3"/>
    <w:basedOn w:val="893"/>
    <w:next w:val="893"/>
    <w:pPr>
      <w:keepNext w:val="true"/>
      <w:keepLines w:val="true"/>
      <w:pBdr/>
      <w:spacing w:after="80" w:before="160"/>
      <w:ind/>
    </w:pPr>
    <w:rPr>
      <w:rFonts w:ascii="Calibri" w:hAnsi="Calibri" w:eastAsia="Calibri" w:cs="Calibri"/>
      <w:b/>
      <w:bCs/>
      <w:color w:val="1f4d78"/>
      <w:sz w:val="24"/>
      <w:szCs w:val="24"/>
    </w:rPr>
  </w:style>
  <w:style w:type="paragraph" w:styleId="897">
    <w:name w:val="Heading 4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i/>
      <w:iCs/>
      <w:color w:val="4f81bd"/>
    </w:rPr>
  </w:style>
  <w:style w:type="paragraph" w:styleId="898">
    <w:name w:val="Heading 5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243f61"/>
    </w:rPr>
  </w:style>
  <w:style w:type="paragraph" w:styleId="899">
    <w:name w:val="Heading 6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i/>
      <w:iCs/>
      <w:color w:val="243f61"/>
    </w:rPr>
  </w:style>
  <w:style w:type="paragraph" w:styleId="900">
    <w:name w:val="Title"/>
    <w:basedOn w:val="893"/>
    <w:next w:val="893"/>
    <w:pPr>
      <w:pBdr>
        <w:bottom w:val="single" w:color="4f81bd" w:sz="8" w:space="4"/>
      </w:pBdr>
      <w:spacing w:after="120" w:line="240" w:lineRule="auto"/>
      <w:ind/>
    </w:pPr>
    <w:rPr>
      <w:rFonts w:ascii="Calibri" w:hAnsi="Calibri" w:eastAsia="Calibri" w:cs="Calibri"/>
      <w:b/>
      <w:bCs/>
      <w:color w:val="0b2545"/>
      <w:sz w:val="44"/>
      <w:szCs w:val="44"/>
    </w:rPr>
  </w:style>
  <w:style w:type="paragraph" w:styleId="901">
    <w:name w:val="Subtitle"/>
    <w:basedOn w:val="893"/>
    <w:next w:val="893"/>
    <w:pPr>
      <w:pBdr/>
      <w:spacing w:after="240"/>
      <w:ind/>
    </w:pPr>
    <w:rPr>
      <w:rFonts w:ascii="Calibri" w:hAnsi="Calibri" w:eastAsia="Calibri" w:cs="Calibri"/>
      <w:i/>
      <w:iCs/>
      <w:color w:val="5a5a5a"/>
      <w:sz w:val="26"/>
      <w:szCs w:val="26"/>
    </w:rPr>
  </w:style>
  <w:style w:type="table" w:styleId="902">
    <w:name w:val="StGen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StGen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StGen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StGen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StGen4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StGen5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StGen6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StGen7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StGen8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StGen9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StGen1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StGen1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StGen1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StGen1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ekaterina-konchina@yandex.ru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6</cp:revision>
  <dcterms:modified xsi:type="dcterms:W3CDTF">2026-07-01T15:52:42Z</dcterms:modified>
</cp:coreProperties>
</file>