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AdaFace Model Training Report</w:t>
      </w:r>
    </w:p>
    <w:p>
      <w:pPr>
        <w:jc w:val="center"/>
      </w:pPr>
      <w:r>
        <w:rPr>
          <w:i/>
          <w:sz w:val="24"/>
        </w:rPr>
        <w:t>IT4432E — Face Recognition Project  |  IResNet50 + AdaFace Loss</w:t>
      </w:r>
    </w:p>
    <w:p/>
    <w:p>
      <w:pPr>
        <w:pStyle w:val="Heading1"/>
        <w:jc w:val="left"/>
      </w:pPr>
      <w:r>
        <w:t>1. Model Overview — How It Works and What It Is Based On</w:t>
      </w:r>
    </w:p>
    <w:p>
      <w:r>
        <w:rPr>
          <w:b w:val="0"/>
          <w:sz w:val="22"/>
        </w:rPr>
        <w:t>The deployed model is an IResNet50 face embedding network trained with the AdaFace adaptive-margin loss (Kim et al., CVPR 2022). It is a metric-learning model: the network maps any face image to a 512-dimensional vector on the unit hypersphere. Two faces are declared 'same person' if the cosine similarity between their vectors exceeds a learned threshold.</w:t>
      </w:r>
    </w:p>
    <w:p>
      <w:pPr>
        <w:pStyle w:val="Heading2"/>
        <w:jc w:val="left"/>
      </w:pPr>
      <w:r>
        <w:t>1.1  Architecture — IResNet50</w:t>
      </w:r>
    </w:p>
    <w:p>
      <w:r>
        <w:rPr>
          <w:b w:val="0"/>
          <w:sz w:val="22"/>
        </w:rPr>
        <w:t>The backbone is the InsightFace variant of ResNet-50, which differs from the standard torchvision ResNet-50 in several important ways: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3118"/>
            <w:shd w:val="clear" w:color="auto" w:fill="BDD7EE"/>
          </w:tcPr>
          <w:p>
            <w:r>
              <w:rPr>
                <w:b/>
                <w:sz w:val="20"/>
              </w:rPr>
              <w:t>torchvision ResNet50</w:t>
            </w:r>
          </w:p>
        </w:tc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IResNet50 (this model)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Residual block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Standard (BN→Conv→BN→ReLU→Conv→BN)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Pre-activation IBasicBlock (BN→Conv→BN→PReLU→Conv→BN)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Activation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ReLU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PReLU (learnable slope, per-channel)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Input stride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7×7 conv, stride 2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3×3 conv, stride 1 — preserves spatial resolution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Global pool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AdaptiveAvgPool2d → flatten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None — flatten 7×7×512 → 25,088 directly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Embedding head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Linear(2048, emb_dim)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Linear(25088, 512) + BatchNorm1d(512)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Layer config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[3, 4, 6, 3]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[3, 4, 14, 3] — deeper layer 3</w:t>
            </w:r>
          </w:p>
        </w:tc>
      </w:tr>
    </w:tbl>
    <w:p/>
    <w:p>
      <w:r>
        <w:rPr>
          <w:b w:val="0"/>
          <w:sz w:val="22"/>
        </w:rPr>
        <w:t>Total parameters: ~43.6 M (trainable: ~43.5 M). The BatchNorm1d embedding head is crucial: its output L2-norm correlates with image quality (brighter, sharper images → higher norm), which is exploited by the AdaFace loss.</w:t>
      </w:r>
    </w:p>
    <w:p>
      <w:r>
        <w:rPr>
          <w:b w:val="0"/>
          <w:sz w:val="22"/>
        </w:rPr>
        <w:t>Forward pass pipeline:</w:t>
      </w:r>
    </w:p>
    <w:p>
      <w:pPr>
        <w:pStyle w:val="ListBullet"/>
      </w:pPr>
      <w:r>
        <w:rPr>
          <w:sz w:val="22"/>
        </w:rPr>
        <w:t>Input: (3, 112, 112) RGB tensor, normalised to [−1, 1]</w:t>
      </w:r>
    </w:p>
    <w:p>
      <w:pPr>
        <w:pStyle w:val="ListBullet"/>
      </w:pPr>
      <w:r>
        <w:rPr>
          <w:sz w:val="22"/>
        </w:rPr>
        <w:t>IResNet50 backbone → Linear(25088, 512) + BatchNorm1d(512) → raw 512-d embedding</w:t>
      </w:r>
    </w:p>
    <w:p>
      <w:pPr>
        <w:pStyle w:val="ListBullet"/>
      </w:pPr>
      <w:r>
        <w:rPr>
          <w:sz w:val="22"/>
        </w:rPr>
        <w:t>L2-normalise to unit hypersphere (inference only)</w:t>
      </w:r>
    </w:p>
    <w:p>
      <w:pPr>
        <w:pStyle w:val="ListBullet"/>
      </w:pPr>
      <w:r>
        <w:rPr>
          <w:sz w:val="22"/>
        </w:rPr>
        <w:t>Cosine similarity against enrolled embeddings → accept/reject at threshold τ = 0.237</w:t>
      </w:r>
    </w:p>
    <w:p>
      <w:pPr>
        <w:pStyle w:val="Heading2"/>
        <w:jc w:val="left"/>
      </w:pPr>
      <w:r>
        <w:t>1.2  Loss Function — AdaFace</w:t>
      </w:r>
    </w:p>
    <w:p>
      <w:r>
        <w:rPr>
          <w:b w:val="0"/>
          <w:sz w:val="22"/>
        </w:rPr>
        <w:t>Standard ArcFace uses a fixed angular margin m for every sample. AdaFace makes the margin adaptive: samples with a high feature norm (confident, well-lit faces) receive a larger penalty; samples with a low norm (blurry, occluded, dark) receive a smaller penalty. This implicitly mines hard, high-quality examples without an explicit mining step.</w:t>
      </w:r>
    </w:p>
    <w:p>
      <w:r>
        <w:rPr>
          <w:b w:val="0"/>
          <w:sz w:val="22"/>
        </w:rPr>
        <w:t>Key AdaFace hyperparameters: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01"/>
            <w:shd w:val="clear" w:color="auto" w:fill="BDD7EE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1701"/>
            <w:shd w:val="clear" w:color="auto" w:fill="BDD7EE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5669"/>
            <w:shd w:val="clear" w:color="auto" w:fill="BDD7EE"/>
          </w:tcPr>
          <w:p>
            <w:r>
              <w:rPr>
                <w:b/>
                <w:sz w:val="20"/>
              </w:rPr>
              <w:t>Role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m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Base angular margin magnitude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h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0.333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Scaling factor for adaptive component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64.0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Logit scale (temperature)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t_alpha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0.01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EMA rate for running batch norm/mean</w:t>
            </w:r>
          </w:p>
        </w:tc>
      </w:tr>
    </w:tbl>
    <w:p/>
    <w:p>
      <w:pPr>
        <w:pStyle w:val="Heading1"/>
        <w:jc w:val="left"/>
      </w:pPr>
      <w:r>
        <w:t>2. Data Processing and Sample Size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551"/>
            <w:shd w:val="clear" w:color="auto" w:fill="BDD7EE"/>
          </w:tcPr>
          <w:p>
            <w:r>
              <w:rPr>
                <w:b/>
                <w:sz w:val="20"/>
              </w:rPr>
              <w:t>Dataset</w:t>
            </w:r>
          </w:p>
        </w:tc>
        <w:tc>
          <w:tcPr>
            <w:tcW w:type="dxa" w:w="2835"/>
            <w:shd w:val="clear" w:color="auto" w:fill="BDD7EE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1701"/>
            <w:shd w:val="clear" w:color="auto" w:fill="BDD7EE"/>
          </w:tcPr>
          <w:p>
            <w:r>
              <w:rPr>
                <w:b/>
                <w:sz w:val="20"/>
              </w:rPr>
              <w:t>Identities</w:t>
            </w:r>
          </w:p>
        </w:tc>
        <w:tc>
          <w:tcPr>
            <w:tcW w:type="dxa" w:w="1984"/>
            <w:shd w:val="clear" w:color="auto" w:fill="BDD7EE"/>
          </w:tcPr>
          <w:p>
            <w:r>
              <w:rPr>
                <w:b/>
                <w:sz w:val="20"/>
              </w:rPr>
              <w:t>Images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CASIA-WebFace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Training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10,572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~490,000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LFW (deepfunneled)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Evaluation — primary benchmark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6,000 pairs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InsightFace eval suite (.bin)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Evaluation — 8 benchmarks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varies per benchmark</w:t>
            </w:r>
          </w:p>
        </w:tc>
      </w:tr>
    </w:tbl>
    <w:p/>
    <w:p>
      <w:r>
        <w:rPr>
          <w:b w:val="0"/>
          <w:sz w:val="22"/>
        </w:rPr>
        <w:t>CASIA-WebFace is distributed as InsightFace MXNet RecordIO (.rec/.idx/property). A pure-Python RecordIO parser was written in train_local.py — no MXNet dependency required. The images are already face-cropped and aligned to 112×112 in the InsightFace format.</w:t>
      </w:r>
    </w:p>
    <w:p>
      <w:pPr>
        <w:pStyle w:val="Heading2"/>
        <w:jc w:val="left"/>
      </w:pPr>
      <w:r>
        <w:t>2.1  Preprocessing Pipeline</w:t>
      </w:r>
    </w:p>
    <w:p>
      <w:pPr>
        <w:pStyle w:val="ListBullet"/>
      </w:pPr>
      <w:r>
        <w:rPr>
          <w:b w:val="0"/>
          <w:sz w:val="22"/>
        </w:rPr>
        <w:t>Decode JPEG → BGR → convert to RGB uint8</w:t>
      </w:r>
    </w:p>
    <w:p>
      <w:pPr>
        <w:pStyle w:val="ListBullet"/>
      </w:pPr>
      <w:r>
        <w:rPr>
          <w:b w:val="0"/>
          <w:sz w:val="22"/>
        </w:rPr>
        <w:t>RandomHorizontalFlip (training only)</w:t>
      </w:r>
    </w:p>
    <w:p>
      <w:pPr>
        <w:pStyle w:val="ListBullet"/>
      </w:pPr>
      <w:r>
        <w:rPr>
          <w:b w:val="0"/>
          <w:sz w:val="22"/>
        </w:rPr>
        <w:t>ToTensor → normalise: mean = std = 0.5  →  output range [−1, 1]</w:t>
      </w:r>
    </w:p>
    <w:p>
      <w:pPr>
        <w:pStyle w:val="ListBullet"/>
      </w:pPr>
      <w:r>
        <w:rPr>
          <w:b w:val="0"/>
          <w:sz w:val="22"/>
        </w:rPr>
        <w:t>No separate face-alignment pipeline needed at training time (already aligned in RecordIO)</w:t>
      </w:r>
    </w:p>
    <w:p>
      <w:pPr>
        <w:pStyle w:val="ListBullet"/>
      </w:pPr>
      <w:r>
        <w:rPr>
          <w:b w:val="0"/>
          <w:sz w:val="22"/>
        </w:rPr>
        <w:t>At evaluation time: InsightFace pre-aligned 112×112 .bin files used directly</w:t>
      </w:r>
    </w:p>
    <w:p>
      <w:pPr>
        <w:pStyle w:val="Heading2"/>
        <w:jc w:val="left"/>
      </w:pPr>
      <w:r>
        <w:t>2.2  Why RandomErasing Was Removed</w:t>
      </w:r>
    </w:p>
    <w:p>
      <w:r>
        <w:rPr>
          <w:b w:val="0"/>
          <w:sz w:val="22"/>
        </w:rPr>
        <w:t>The original pipeline included RandomErasing augmentation. This was removed because on 112×112 face crops, random rectangular occlusions frequently erase the eyes or nose — the most identity-discriminative regions — and degrade the training signal.</w:t>
      </w:r>
    </w:p>
    <w:p/>
    <w:p>
      <w:pPr>
        <w:pStyle w:val="Heading1"/>
        <w:jc w:val="left"/>
      </w:pPr>
      <w:r>
        <w:t>3. Training from Scratch — Pipeline</w:t>
      </w:r>
    </w:p>
    <w:p>
      <w:r>
        <w:rPr>
          <w:b w:val="0"/>
          <w:sz w:val="22"/>
        </w:rPr>
        <w:t>The IResNet50 + AdaFace model was trained from scratch on CASIA-WebFace. There was no pre-trained backbone checkpoint used — all weights were randomly initialised and trained end-to-end.</w:t>
      </w:r>
    </w:p>
    <w:p>
      <w:r>
        <w:rPr>
          <w:b/>
          <w:sz w:val="22"/>
        </w:rPr>
        <w:t xml:space="preserve">Hardware note: </w:t>
      </w:r>
      <w:r>
        <w:rPr>
          <w:b w:val="0"/>
          <w:sz w:val="22"/>
        </w:rPr>
        <w:t>Note: Training was done locally on a personal PC with an NVIDIA RTX 4070 (12 GB VRAM) instead of Kaggle, due to Kaggle's GPU time limits being insufficient for 30 epochs on ~490K images.</w:t>
      </w:r>
    </w:p>
    <w:p>
      <w:pPr>
        <w:pStyle w:val="Heading2"/>
        <w:jc w:val="left"/>
      </w:pPr>
      <w:r>
        <w:t>3.1  Training Recipe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Hyperparameter</w:t>
            </w:r>
          </w:p>
        </w:tc>
        <w:tc>
          <w:tcPr>
            <w:tcW w:type="dxa" w:w="5102"/>
            <w:shd w:val="clear" w:color="auto" w:fill="BDD7EE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IResNet50 (layers: 3-4-14-3)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Loss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AdaFace, m=0.4, h=0.333, s=64.0, t_alpha=0.01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Embedding size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512-d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112 × 112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Input normalisation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mean = std = 0.5  (range [−1, 1])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Total epochs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Batch size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256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Optimiser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SGD, momentum=0.9, weight_decay=5e-4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Initial learning rate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0.05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LR schedule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Warmup 1 epoch → MultiStep ×0.1 at epochs 16, 24, 28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Gradient clipping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max_norm = 5.0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Mixed precision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FP16 (CUDA AMP — torch.amp.autocast + GradScaler)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Hardware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NVIDIA RTX 4070 12 GB (local PC)</w:t>
            </w:r>
          </w:p>
        </w:tc>
      </w:tr>
    </w:tbl>
    <w:p/>
    <w:p>
      <w:pPr>
        <w:pStyle w:val="Heading2"/>
        <w:jc w:val="left"/>
      </w:pPr>
      <w:r>
        <w:t>3.2  Per-Step Training Loop</w:t>
      </w:r>
    </w:p>
    <w:p>
      <w:pPr>
        <w:pStyle w:val="ListBullet"/>
      </w:pPr>
      <w:r>
        <w:rPr>
          <w:b/>
          <w:sz w:val="22"/>
        </w:rPr>
        <w:t xml:space="preserve">Step 1: </w:t>
      </w:r>
      <w:r>
        <w:rPr>
          <w:b w:val="0"/>
          <w:sz w:val="22"/>
        </w:rPr>
        <w:t>Forward: emb = model(imgs) → raw 512-d embedding (not L2-normalised inside forward)</w:t>
      </w:r>
    </w:p>
    <w:p>
      <w:pPr>
        <w:pStyle w:val="ListBullet"/>
      </w:pPr>
      <w:r>
        <w:rPr>
          <w:b/>
          <w:sz w:val="22"/>
        </w:rPr>
        <w:t xml:space="preserve">Step 2: </w:t>
      </w:r>
      <w:r>
        <w:rPr>
          <w:b w:val="0"/>
          <w:sz w:val="22"/>
        </w:rPr>
        <w:t>Compute per-sample norms: norms = ‖emb‖₂</w:t>
      </w:r>
    </w:p>
    <w:p>
      <w:pPr>
        <w:pStyle w:val="ListBullet"/>
      </w:pPr>
      <w:r>
        <w:rPr>
          <w:b/>
          <w:sz w:val="22"/>
        </w:rPr>
        <w:t xml:space="preserve">Step 3: </w:t>
      </w:r>
      <w:r>
        <w:rPr>
          <w:b w:val="0"/>
          <w:sz w:val="22"/>
        </w:rPr>
        <w:t>AdaFace head: logits = head(emb / norms, norms, labels)  — head also normalises its own weight matrix</w:t>
      </w:r>
    </w:p>
    <w:p>
      <w:pPr>
        <w:pStyle w:val="ListBullet"/>
      </w:pPr>
      <w:r>
        <w:rPr>
          <w:b/>
          <w:sz w:val="22"/>
        </w:rPr>
        <w:t xml:space="preserve">Step 4: </w:t>
      </w:r>
      <w:r>
        <w:rPr>
          <w:b w:val="0"/>
          <w:sz w:val="22"/>
        </w:rPr>
        <w:t>Loss: cross_entropy(logits, labels)</w:t>
      </w:r>
    </w:p>
    <w:p>
      <w:pPr>
        <w:pStyle w:val="ListBullet"/>
      </w:pPr>
      <w:r>
        <w:rPr>
          <w:b/>
          <w:sz w:val="22"/>
        </w:rPr>
        <w:t xml:space="preserve">Step 5: </w:t>
      </w:r>
      <w:r>
        <w:rPr>
          <w:b w:val="0"/>
          <w:sz w:val="22"/>
        </w:rPr>
        <w:t>scaler.scale(loss).backward() → unscale → gradient clip (max_norm=5) → SGD step</w:t>
      </w:r>
    </w:p>
    <w:p>
      <w:pPr>
        <w:pStyle w:val="Heading2"/>
        <w:jc w:val="left"/>
      </w:pPr>
      <w:r>
        <w:t>3.3  Training Curve (approximate)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Epoch</w:t>
            </w:r>
          </w:p>
        </w:tc>
        <w:tc>
          <w:tcPr>
            <w:tcW w:type="dxa" w:w="2835"/>
            <w:shd w:val="clear" w:color="auto" w:fill="BDD7EE"/>
          </w:tcPr>
          <w:p>
            <w:r>
              <w:rPr>
                <w:b/>
                <w:sz w:val="20"/>
              </w:rPr>
              <w:t>Train Loss (approx.)</w:t>
            </w:r>
          </w:p>
        </w:tc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LFW Accuracy (raw, approx.)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~3.2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~78%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~1.9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~84%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~1.3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~90%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~0.8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~94%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~0.5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~97%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~0.4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~99%</w:t>
            </w:r>
          </w:p>
        </w:tc>
      </w:tr>
    </w:tbl>
    <w:p/>
    <w:p>
      <w:r>
        <w:rPr>
          <w:b w:val="0"/>
          <w:sz w:val="22"/>
        </w:rPr>
        <w:t>LFW was probed every 2 epochs using raw deepfunneled images (no MTCNN alignment needed during training). The formal 10-fold evaluation used InsightFace pre-aligned .bin files and reports the final numbers shown in Section 6.</w:t>
      </w:r>
    </w:p>
    <w:p>
      <w:pPr>
        <w:pStyle w:val="Heading2"/>
        <w:jc w:val="left"/>
      </w:pPr>
      <w:r>
        <w:t>3.4  Checkpoint Strategy</w:t>
      </w:r>
    </w:p>
    <w:p>
      <w:pPr>
        <w:pStyle w:val="ListBullet"/>
      </w:pPr>
      <w:r>
        <w:rPr>
          <w:b w:val="0"/>
          <w:sz w:val="22"/>
        </w:rPr>
        <w:t>ckpt/last.pt — full training state (model, AdaFace head, optimiser, AMP scaler, epoch) — saved every epoch; resumes training automatically</w:t>
      </w:r>
    </w:p>
    <w:p>
      <w:pPr>
        <w:pStyle w:val="ListBullet"/>
      </w:pPr>
      <w:r>
        <w:rPr>
          <w:b w:val="0"/>
          <w:sz w:val="22"/>
        </w:rPr>
        <w:t>ckpt/embedder.pt — model weights only (no head, no optimiser) — saved at end of training; deployed as application/models/best.pt</w:t>
      </w:r>
    </w:p>
    <w:p/>
    <w:p>
      <w:pPr>
        <w:pStyle w:val="Heading1"/>
        <w:jc w:val="left"/>
      </w:pPr>
      <w:r>
        <w:t>4. Optimisation Approach</w:t>
      </w:r>
    </w:p>
    <w:p>
      <w:pPr>
        <w:pStyle w:val="Heading2"/>
        <w:jc w:val="left"/>
      </w:pPr>
      <w:r>
        <w:t>4.1  Optimiser: SGD with Momentum</w:t>
      </w:r>
    </w:p>
    <w:p>
      <w:r>
        <w:rPr>
          <w:b w:val="0"/>
          <w:sz w:val="22"/>
        </w:rPr>
        <w:t>SGD with momentum=0.9 and weight_decay=5e-4 was chosen over Adam/AdamW. AdaFace (and ArcFace) training is known to converge better with SGD because the large logit scale (s=64) makes Adam's adaptive per-parameter LR less stable. Weight decay of 5e-4 provides L2 regularisation without aggressive shrinkage.</w:t>
      </w:r>
    </w:p>
    <w:p>
      <w:pPr>
        <w:pStyle w:val="Heading2"/>
        <w:jc w:val="left"/>
      </w:pPr>
      <w:r>
        <w:t>4.2  Learning Rate Schedule</w:t>
      </w:r>
    </w:p>
    <w:p>
      <w:pPr>
        <w:pStyle w:val="ListBullet"/>
      </w:pPr>
      <w:r>
        <w:rPr>
          <w:b w:val="0"/>
          <w:sz w:val="22"/>
        </w:rPr>
        <w:t>Epoch 1: linear warmup from 0 → 0.05 (prevents large gradient updates from random initialisation)</w:t>
      </w:r>
    </w:p>
    <w:p>
      <w:pPr>
        <w:pStyle w:val="ListBullet"/>
      </w:pPr>
      <w:r>
        <w:rPr>
          <w:b w:val="0"/>
          <w:sz w:val="22"/>
        </w:rPr>
        <w:t>Epoch 16: ×0.1  → LR = 0.005</w:t>
      </w:r>
    </w:p>
    <w:p>
      <w:pPr>
        <w:pStyle w:val="ListBullet"/>
      </w:pPr>
      <w:r>
        <w:rPr>
          <w:b w:val="0"/>
          <w:sz w:val="22"/>
        </w:rPr>
        <w:t>Epoch 24: ×0.1  → LR = 0.0005</w:t>
      </w:r>
    </w:p>
    <w:p>
      <w:pPr>
        <w:pStyle w:val="ListBullet"/>
      </w:pPr>
      <w:r>
        <w:rPr>
          <w:b w:val="0"/>
          <w:sz w:val="22"/>
        </w:rPr>
        <w:t>Epoch 28: ×0.1  → LR = 0.00005</w:t>
      </w:r>
    </w:p>
    <w:p>
      <w:r>
        <w:rPr>
          <w:b w:val="0"/>
          <w:sz w:val="22"/>
        </w:rPr>
        <w:t>MultiStep decay is standard for ArcFace/AdaFace family models. The three decay steps progressively refine the margin-aware embedding as training loss flattens.</w:t>
      </w:r>
    </w:p>
    <w:p>
      <w:pPr>
        <w:pStyle w:val="Heading2"/>
        <w:jc w:val="left"/>
      </w:pPr>
      <w:r>
        <w:t>4.3  Mixed Precision (FP16 AMP)</w:t>
      </w:r>
    </w:p>
    <w:p>
      <w:r>
        <w:rPr>
          <w:b w:val="0"/>
          <w:sz w:val="22"/>
        </w:rPr>
        <w:t>CUDA AMP (torch.amp.autocast + GradScaler) was used throughout. This halved GPU memory usage (allowing batch=256 on 12 GB VRAM) and sped up training significantly on the RTX 4070's Tensor Cores, with no measurable accuracy loss.</w:t>
      </w:r>
    </w:p>
    <w:p>
      <w:pPr>
        <w:pStyle w:val="Heading2"/>
        <w:jc w:val="left"/>
      </w:pPr>
      <w:r>
        <w:t>4.4  Gradient Clipping</w:t>
      </w:r>
    </w:p>
    <w:p>
      <w:r>
        <w:rPr>
          <w:b w:val="0"/>
          <w:sz w:val="22"/>
        </w:rPr>
        <w:t>Gradient clipping (max_norm=5.0) was applied after unscaling in the AMP loop. With s=64 logit scale, gradients can be large early in training — clipping prevents instability without requiring a smaller learning rate.</w:t>
      </w:r>
    </w:p>
    <w:p>
      <w:pPr>
        <w:pStyle w:val="Heading2"/>
        <w:jc w:val="left"/>
      </w:pPr>
      <w:r>
        <w:t>4.5  AdaFace Adaptive Margin</w:t>
      </w:r>
    </w:p>
    <w:p>
      <w:r>
        <w:rPr>
          <w:b w:val="0"/>
          <w:sz w:val="22"/>
        </w:rPr>
        <w:t>The main optimisation insight is the AdaFace loss itself. Unlike a fixed-margin loss, AdaFace dynamically adjusts the angular penalty per sample based on its feature norm:</w:t>
      </w:r>
    </w:p>
    <w:p>
      <w:pPr>
        <w:pStyle w:val="ListBullet"/>
      </w:pPr>
      <w:r>
        <w:rPr>
          <w:b w:val="0"/>
          <w:sz w:val="22"/>
        </w:rPr>
        <w:t>High-norm sample (sharp, well-lit) → larger margin → harder constraint → model pushed to be more discriminative for easy images</w:t>
      </w:r>
    </w:p>
    <w:p>
      <w:pPr>
        <w:pStyle w:val="ListBullet"/>
      </w:pPr>
      <w:r>
        <w:rPr>
          <w:b w:val="0"/>
          <w:sz w:val="22"/>
        </w:rPr>
        <w:t>Low-norm sample (blurry, occluded, dark) → smaller margin → less pressure → prevents noisy low-quality images from dominating gradients</w:t>
      </w:r>
    </w:p>
    <w:p>
      <w:r>
        <w:rPr>
          <w:b w:val="0"/>
          <w:sz w:val="22"/>
        </w:rPr>
        <w:t>This is equivalent to curriculum hard-mining without explicit triplet selection, and it is the primary reason the AdaFace model (99.3% LFW) outperforms the earlier CE+triplet baseline (90.9% LFW) by ~8.4 percentage points.</w:t>
      </w:r>
    </w:p>
    <w:p/>
    <w:p>
      <w:pPr>
        <w:pStyle w:val="Heading1"/>
        <w:jc w:val="left"/>
      </w:pPr>
      <w:r>
        <w:t>5. Error Analysis — Issues Encountered During Training</w:t>
      </w:r>
    </w:p>
    <w:p>
      <w:pPr>
        <w:pStyle w:val="Heading2"/>
        <w:jc w:val="left"/>
      </w:pPr>
      <w:r>
        <w:t>5.1  Earlier Model: Embedding Collapse (Critical Bug)</w:t>
      </w:r>
    </w:p>
    <w:p>
      <w:r>
        <w:rPr>
          <w:b w:val="0"/>
          <w:sz w:val="22"/>
        </w:rPr>
        <w:t>Before the AdaFace rewrite, the project used a two-phase CE+triplet pipeline on a torchvision ResNet50 backbone. That run produced a false 97.48% LFW accuracy — the model had not actually learned face recognition.</w:t>
      </w:r>
    </w:p>
    <w:p>
      <w:r>
        <w:rPr>
          <w:b w:val="0"/>
          <w:sz w:val="22"/>
        </w:rPr>
        <w:t>What actually happened:</w:t>
      </w:r>
    </w:p>
    <w:p>
      <w:pPr>
        <w:pStyle w:val="ListBullet"/>
      </w:pPr>
      <w:r>
        <w:rPr>
          <w:b w:val="0"/>
          <w:sz w:val="22"/>
        </w:rPr>
        <w:t>Eval silently dropped pairs: the LFW evaluator filtered pairs whose aligned image was missing on disk. 2,378 of 3,000 negative pairs were dropped while positives were preserved, leaving the set 97.48% positive. Predicting 'same' for everything scored 97.48% by class imbalance alone.</w:t>
      </w:r>
    </w:p>
    <w:p>
      <w:pPr>
        <w:pStyle w:val="ListBullet"/>
      </w:pPr>
      <w:r>
        <w:rPr>
          <w:b w:val="0"/>
          <w:sz w:val="22"/>
        </w:rPr>
        <w:t>Model produced identical embeddings: every face → cosine similarity ≈ 0.997 with every other face. This is embedding collapse — the degenerate solution where every output is the same constant vector, which trivially minimises triplet loss on a unit hypersphere.</w:t>
      </w:r>
    </w:p>
    <w:p>
      <w:r>
        <w:rPr>
          <w:b w:val="0"/>
          <w:sz w:val="22"/>
        </w:rPr>
        <w:t>Fixes applied in the revised pipeline: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118"/>
            <w:shd w:val="clear" w:color="auto" w:fill="BDD7EE"/>
          </w:tcPr>
          <w:p>
            <w:r>
              <w:rPr>
                <w:b/>
                <w:sz w:val="20"/>
              </w:rPr>
              <w:t>Fix</w:t>
            </w:r>
          </w:p>
        </w:tc>
        <w:tc>
          <w:tcPr>
            <w:tcW w:type="dxa" w:w="5669"/>
            <w:shd w:val="clear" w:color="auto" w:fill="BDD7EE"/>
          </w:tcPr>
          <w:p>
            <w:r>
              <w:rPr>
                <w:b/>
                <w:sz w:val="20"/>
              </w:rPr>
              <w:t>Why It Mattered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L2-norm inside the loss, not in forward()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Normalising at model output let the triplet loss be 'won' by collapse. Moving normalise inside the loss means raw activations carry magnitude info — collapse is no longer zero-loss.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Softmax warmup before triplet training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Triplet from cold random weights mines from near-random embeddings. CE classification first establishes a non-degenerate embedding space.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Semi-hard negative mining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Batch-hard mining picks the hardest negative → over-aggressive → collapse. Semi-hard picks negatives in the band d_ap &lt; d_an &lt; d_ap + margin — informative but not destructive.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Soft-margin loss (softplus)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Hinge loss is flat past the margin → zero gradient on correct triplets. Softplus is always smooth → never goes dead.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No-drop LFW eval with raw fallback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If aligned image is missing, fall back to 80% center crop of raw deepfunneled image. Pos/neg balance preserved. Hard assertions on spread &gt; 0.05 prevent silent regression.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5× more identities (CASIA-WebFace, 10,572)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Previous train set had 2,150 identities. Embedding quality scales with identity count more than image count.</w:t>
            </w:r>
          </w:p>
        </w:tc>
      </w:tr>
    </w:tbl>
    <w:p/>
    <w:p>
      <w:pPr>
        <w:pStyle w:val="Heading2"/>
        <w:jc w:val="left"/>
      </w:pPr>
      <w:r>
        <w:t>5.2  TALFW: Complete Adversarial Failure</w:t>
      </w:r>
    </w:p>
    <w:p>
      <w:r>
        <w:rPr>
          <w:b w:val="0"/>
          <w:sz w:val="22"/>
        </w:rPr>
        <w:t>The TALFW benchmark (Transfer-Attack LFW) applies imperceptible adversarial perturbations to faces. The model scored 50.0% — equivalent to random chance — with a negative AUC of 0.417 (&lt; 0.5), meaning perturbations actively invert the similarity ordering: adversarially crafted images appear more similar to wrong identities than to the correct one.</w:t>
      </w:r>
    </w:p>
    <w:p>
      <w:r>
        <w:rPr>
          <w:b w:val="0"/>
          <w:sz w:val="22"/>
        </w:rPr>
        <w:t>Root cause: no adversarial training was performed. This is a known failure mode for all embedding-based face recognition models without adversarial training. Mitigation would require PGD adversarial training or input preprocessing (bit-depth reduction), which are out of scope for this project.</w:t>
      </w:r>
    </w:p>
    <w:p>
      <w:pPr>
        <w:pStyle w:val="Heading2"/>
        <w:jc w:val="left"/>
      </w:pPr>
      <w:r>
        <w:t>5.3  Remaining Weaknesses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551"/>
            <w:shd w:val="clear" w:color="auto" w:fill="BDD7EE"/>
          </w:tcPr>
          <w:p>
            <w:r>
              <w:rPr>
                <w:b/>
                <w:sz w:val="20"/>
              </w:rPr>
              <w:t>Failure Mode</w:t>
            </w:r>
          </w:p>
        </w:tc>
        <w:tc>
          <w:tcPr>
            <w:tcW w:type="dxa" w:w="1701"/>
            <w:shd w:val="clear" w:color="auto" w:fill="BDD7EE"/>
          </w:tcPr>
          <w:p>
            <w:r>
              <w:rPr>
                <w:b/>
                <w:sz w:val="20"/>
              </w:rPr>
              <w:t>Benchmark</w:t>
            </w:r>
          </w:p>
        </w:tc>
        <w:tc>
          <w:tcPr>
            <w:tcW w:type="dxa" w:w="1701"/>
            <w:shd w:val="clear" w:color="auto" w:fill="BDD7EE"/>
          </w:tcPr>
          <w:p>
            <w:r>
              <w:rPr>
                <w:b/>
                <w:sz w:val="20"/>
              </w:rPr>
              <w:t>Accuracy</w:t>
            </w:r>
          </w:p>
        </w:tc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Root Cause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Adversarial inputs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TALFW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50.0%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No adversarial training; small perturbations invert cosine ordering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Extreme yaw (profile)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CPLFW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89.3%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CASIA-WebFace is mostly frontal — limited profile training examples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Large age gaps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AgeDB-30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94.3%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CASIA-WebFace lacks same-identity images across decades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Cross-age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CALFW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93.5%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Same as AgeDB-30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Lookalikes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SLLFW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98.1%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Handled well by AdaFace — near-LFW performance</w:t>
            </w:r>
          </w:p>
        </w:tc>
      </w:tr>
    </w:tbl>
    <w:p/>
    <w:p>
      <w:r>
        <w:rPr>
          <w:b w:val="0"/>
          <w:sz w:val="22"/>
        </w:rPr>
        <w:t>Note: The model is NOT overfitting to CASIA-WebFace in the classical sense. Classical overfit would show high training accuracy and low LFW accuracy. Instead we see high LFW accuracy (99.3%) alongside specific out-of-distribution weaknesses. These weaknesses reflect gaps in training data coverage, not memorisation.</w:t>
      </w:r>
    </w:p>
    <w:p/>
    <w:p>
      <w:pPr>
        <w:pStyle w:val="Heading1"/>
        <w:jc w:val="left"/>
      </w:pPr>
      <w:r>
        <w:t>6. Training Results</w:t>
      </w:r>
    </w:p>
    <w:p>
      <w:pPr>
        <w:pStyle w:val="Heading2"/>
        <w:jc w:val="left"/>
      </w:pPr>
      <w:r>
        <w:t>6.1  Primary Benchmark — LFW (10-fold cross-validation, 6,000 pairs)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35"/>
            <w:shd w:val="clear" w:color="auto" w:fill="BDD7EE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35"/>
            <w:shd w:val="clear" w:color="auto" w:fill="BDD7EE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Accuracy (10-fold CV mean)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99.30% ± 0.40%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0.9963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0.9913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F1 Score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0.9938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ROC AUC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0.9995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TPR @ FPR = 1%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0.9937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Cosine threshold τ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0.237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Spread (pos_sim − neg_sim)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0.5815</w:t>
            </w:r>
          </w:p>
        </w:tc>
      </w:tr>
    </w:tbl>
    <w:p/>
    <w:p>
      <w:r>
        <w:rPr>
          <w:b w:val="0"/>
          <w:sz w:val="22"/>
        </w:rPr>
        <w:t>LFW Confusion Matrix (τ = 0.237, 6,000 pairs = 3,000 positive + 3,000 negative):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835"/>
            <w:shd w:val="clear" w:color="auto" w:fill="BDD7EE"/>
          </w:tcPr>
          <w:p>
            <w:r>
              <w:rPr>
                <w:b/>
                <w:sz w:val="20"/>
              </w:rPr>
              <w:t>Predicted: Different</w:t>
            </w:r>
          </w:p>
        </w:tc>
        <w:tc>
          <w:tcPr>
            <w:tcW w:type="dxa" w:w="2835"/>
            <w:shd w:val="clear" w:color="auto" w:fill="BDD7EE"/>
          </w:tcPr>
          <w:p>
            <w:r>
              <w:rPr>
                <w:b/>
                <w:sz w:val="20"/>
              </w:rPr>
              <w:t>Predicted: Same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Actual: Different (TN / FP)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2,989  (TN)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11  (FP)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Actual: Same (FN / TP)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26  (FN)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2,974  (TP)</w:t>
            </w:r>
          </w:p>
        </w:tc>
      </w:tr>
    </w:tbl>
    <w:p/>
    <w:p>
      <w:pPr>
        <w:pStyle w:val="Heading2"/>
        <w:jc w:val="left"/>
      </w:pPr>
      <w:r>
        <w:t>6.2  InsightFace 8-Benchmark Suite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417"/>
            <w:shd w:val="clear" w:color="auto" w:fill="BDD7EE"/>
          </w:tcPr>
          <w:p>
            <w:r>
              <w:rPr>
                <w:b/>
                <w:sz w:val="20"/>
              </w:rPr>
              <w:t>Benchmark</w:t>
            </w:r>
          </w:p>
        </w:tc>
        <w:tc>
          <w:tcPr>
            <w:tcW w:type="dxa" w:w="3118"/>
            <w:shd w:val="clear" w:color="auto" w:fill="BDD7EE"/>
          </w:tcPr>
          <w:p>
            <w:r>
              <w:rPr>
                <w:b/>
                <w:sz w:val="20"/>
              </w:rPr>
              <w:t>What It Tests</w:t>
            </w:r>
          </w:p>
        </w:tc>
        <w:tc>
          <w:tcPr>
            <w:tcW w:type="dxa" w:w="1417"/>
            <w:shd w:val="clear" w:color="auto" w:fill="BDD7EE"/>
          </w:tcPr>
          <w:p>
            <w:r>
              <w:rPr>
                <w:b/>
                <w:sz w:val="20"/>
              </w:rPr>
              <w:t>Accuracy</w:t>
            </w:r>
          </w:p>
        </w:tc>
        <w:tc>
          <w:tcPr>
            <w:tcW w:type="dxa" w:w="1134"/>
            <w:shd w:val="clear" w:color="auto" w:fill="BDD7EE"/>
          </w:tcPr>
          <w:p>
            <w:r>
              <w:rPr>
                <w:b/>
                <w:sz w:val="20"/>
              </w:rPr>
              <w:t>±Std</w:t>
            </w:r>
          </w:p>
        </w:tc>
        <w:tc>
          <w:tcPr>
            <w:tcW w:type="dxa" w:w="1417"/>
            <w:shd w:val="clear" w:color="auto" w:fill="BDD7EE"/>
          </w:tcPr>
          <w:p>
            <w:r>
              <w:rPr>
                <w:b/>
                <w:sz w:val="20"/>
              </w:rPr>
              <w:t>Precision</w:t>
            </w:r>
          </w:p>
        </w:tc>
        <w:tc>
          <w:tcPr>
            <w:tcW w:type="dxa" w:w="1417"/>
            <w:shd w:val="clear" w:color="auto" w:fill="BDD7EE"/>
          </w:tcPr>
          <w:p>
            <w:r>
              <w:rPr>
                <w:b/>
                <w:sz w:val="20"/>
              </w:rPr>
              <w:t>Recall</w:t>
            </w:r>
          </w:p>
        </w:tc>
        <w:tc>
          <w:tcPr>
            <w:tcW w:type="dxa" w:w="1134"/>
            <w:shd w:val="clear" w:color="auto" w:fill="BDD7EE"/>
          </w:tcPr>
          <w:p>
            <w:r>
              <w:rPr>
                <w:b/>
                <w:sz w:val="20"/>
              </w:rPr>
              <w:t>F1</w:t>
            </w:r>
          </w:p>
        </w:tc>
        <w:tc>
          <w:tcPr>
            <w:tcW w:type="dxa" w:w="1417"/>
            <w:shd w:val="clear" w:color="auto" w:fill="BDD7EE"/>
          </w:tcPr>
          <w:p>
            <w:r>
              <w:rPr>
                <w:b/>
                <w:sz w:val="20"/>
              </w:rPr>
              <w:t>ROC-AUC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LFW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Standard frontal verification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99.30%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±0.40%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0.9963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0.9913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0.9938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0.9995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CFP-FF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Frontal vs frontal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99.47%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±0.26%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0.9960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0.9937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0.9949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0.9996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CFP-FP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Frontal vs profile (±90°)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95.03%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±1.08%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0.9730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0.9263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0.9491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0.9766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AgeDB-30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Same person, 30-year age gap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94.25%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±1.26%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0.9559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0.9443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0.9831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CALFW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Cross-age LFW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93.48%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±0.97%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0.9625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0.9060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0.9334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0.9732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CPLFW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Cross-pose LFW (extreme yaw)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89.28%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±1.60%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0.9457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0.8367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0.8879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0.9388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SLLFW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Similar-looking lookalikes (hard negs)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98.05%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±0.60%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0.9905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0.9727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0.9815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0.9962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TALFW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Transfer-attack (adversarial) — failure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50.00%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±0.00%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0.500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1.000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0.667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0.417</w:t>
            </w:r>
          </w:p>
        </w:tc>
      </w:tr>
    </w:tbl>
    <w:p/>
    <w:p>
      <w:r>
        <w:rPr>
          <w:b w:val="0"/>
          <w:sz w:val="22"/>
        </w:rPr>
        <w:t>All metrics derived from 10-fold cross-validation on InsightFace pre-aligned 112×112 .bin files. Each fold tunes the cosine threshold independently; Accuracy, Precision, Recall, and F1 are averaged across folds. ROC-AUC is computed over the full dataset.</w:t>
      </w:r>
    </w:p>
    <w:p>
      <w:pPr>
        <w:pStyle w:val="Heading2"/>
        <w:jc w:val="left"/>
      </w:pPr>
      <w:r>
        <w:t>6.3  Comparison: AdaFace vs Earlier CE+Triplet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Factor</w:t>
            </w:r>
          </w:p>
        </w:tc>
        <w:tc>
          <w:tcPr>
            <w:tcW w:type="dxa" w:w="3118"/>
            <w:shd w:val="clear" w:color="auto" w:fill="BDD7EE"/>
          </w:tcPr>
          <w:p>
            <w:r>
              <w:rPr>
                <w:b/>
                <w:sz w:val="20"/>
              </w:rPr>
              <w:t>Old Model (CE+Triplet)</w:t>
            </w:r>
          </w:p>
        </w:tc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AdaFace Model (this work)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torchvision ResNet50 + Linear(2048, 512)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IResNet50 (pre-activation, 25088-d flat)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Loss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Fixed soft-margin triplet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AdaFace adaptive margin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160×160, ImageNet normalisation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112×112, [−1, 1] normalisation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20 (3 warmup + 17 triplet)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128 (PKSampler P=32, K=4)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256 (standard shuffle)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Optimiser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AdamW, 1e-4 / 5e-4, cosine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SGD, 0.05, MultiStep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LFW Accuracy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90.90% (best epoch)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99.30% (final)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LFW F1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~0.91 (estimated)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0.9938</w:t>
            </w:r>
          </w:p>
        </w:tc>
      </w:tr>
    </w:tbl>
    <w:p/>
    <w:p>
      <w:r>
        <w:rPr>
          <w:b w:val="0"/>
          <w:sz w:val="22"/>
        </w:rPr>
        <w:t>The dominant improvement factor is the loss function: AdaFace's adaptive margin provides implicit hard-example weighting that the soft-margin triplet loss cannot match, resulting in an ~8.4 percentage-point gain on LFW.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