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noProof/>
        </w:rPr>
        <w:drawing>
          <wp:inline distT="0" distB="0" distL="0" distR="0">
            <wp:extent cx="1371600" cy="1246909"/>
            <wp:effectExtent l="0" t="0" r="0" b="0"/>
            <wp:docPr id="9001" name="Getamazednow-AI-Logo-Full-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Logo-Full-Color.png"/>
                    <pic:cNvPicPr/>
                  </pic:nvPicPr>
                  <pic:blipFill>
                    <a:blip r:embed="rIdGai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00"/>
      </w:pPr>
      <w:r>
        <w:rPr>
          <w:rFonts w:ascii="Poppins" w:cs="Poppins" w:eastAsia="Poppins" w:hAnsi="Poppins"/>
          <w:b/>
          <w:bCs/>
          <w:color w:val="4B54C4"/>
          <w:spacing w:val="60"/>
          <w:sz w:val="30"/>
          <w:szCs w:val="30"/>
        </w:rPr>
        <w:t xml:space="preserve">ADSRA</w:t>
      </w:r>
    </w:p>
    <w:p>
      <w:pPr>
        <w:pBdr>
          <w:bottom w:val="single" w:color="4B54C4" w:sz="24" w:space="10"/>
        </w:pBdr>
        <w:spacing w:after="80" w:before="40"/>
      </w:pPr>
      <w:r>
        <w:rPr>
          <w:noProof/>
        </w:rPr>
        <w:drawing>
          <wp:inline distT="0" distB="0" distL="0" distR="0">
            <wp:extent cx="320040" cy="320040"/>
            <wp:effectExtent l="0" t="0" r="0" b="0"/>
            <wp:docPr id="9002" name="Getamazednow-AI-Module-Gov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Module-Govern.png"/>
                    <pic:cNvPicPr/>
                  </pic:nvPicPr>
                  <pic:blipFill>
                    <a:blip r:embed="rIdGaiGov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color w:val="2A363B"/>
          <w:sz w:val="40"/>
          <w:szCs w:val="40"/>
        </w:rPr>
        <w:t xml:space="preserve">  </w:t>
      </w:r>
      <w:r>
        <w:rPr>
          <w:rFonts w:ascii="Poppins" w:cs="Poppins" w:eastAsia="Poppins" w:hAnsi="Poppins"/>
          <w:b/>
          <w:bCs/>
          <w:color w:val="2A363B"/>
          <w:sz w:val="60"/>
          <w:szCs w:val="60"/>
        </w:rPr>
        <w:t xml:space="preserve">Five Open Questions</w:t>
      </w:r>
    </w:p>
    <w:p>
      <w:pPr>
        <w:spacing w:after="40" w:before="120"/>
      </w:pPr>
      <w:r>
        <w:rPr>
          <w:rFonts w:ascii="Poppins" w:cs="Poppins" w:eastAsia="Poppins" w:hAnsi="Poppins"/>
          <w:color w:val="2A363B"/>
          <w:sz w:val="30"/>
          <w:szCs w:val="30"/>
        </w:rPr>
        <w:t xml:space="preserve">A consultation pack for clients and practitioners</w:t>
      </w:r>
    </w:p>
    <w:p>
      <w:pPr>
        <w:spacing w:after="60"/>
      </w:pPr>
      <w:r>
        <w:rPr>
          <w:rFonts w:ascii="Inter" w:cs="Inter" w:eastAsia="Inter" w:hAnsi="Inter"/>
          <w:color w:val="6B797E"/>
          <w:sz w:val="22"/>
          <w:szCs w:val="22"/>
        </w:rPr>
        <w:t xml:space="preserve">Australian Digital Sovereignty Reference Architecture  ·  v0.3 workstream</w:t>
      </w:r>
    </w:p>
    <w:p>
      <w:pPr>
        <w:spacing w:before="1600"/>
      </w:pPr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ABOUT THIS PACK</w:t>
      </w:r>
    </w:p>
    <w:p>
      <w:pPr>
        <w:pBdr>
          <w:bottom w:val="single" w:color="2E7DA6" w:sz="18" w:space="8"/>
        </w:pBdr>
        <w:spacing w:after="120"/>
      </w:pPr>
      <w:r>
        <w:rPr>
          <w:rFonts w:ascii="Poppins" w:cs="Poppins" w:eastAsia="Poppins" w:hAnsi="Poppins"/>
          <w:b/>
          <w:bCs/>
          <w:color w:val="2A363B"/>
          <w:sz w:val="34"/>
          <w:szCs w:val="34"/>
        </w:rPr>
        <w:t xml:space="preserve">Five open questions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Australian Digital Sovereignty Reference Architecture (ADSRA) is an open, vendor-neutral reference model for governing where data and AI workloads live — and for evidencing that governance to regulators. As it moves through its v0.3 draft, five questions remain deliberately open.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This pack puts those questions to clients and practitioners for structured input. Each is a genuine design or evidence question: your challenge, worked examples and sector experience shape the next version directly.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How your input is used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Each question sets out our current position — clearly labelled as a considered view, open to challenge, not settled fact — and describes what a strong contribution looks like. Where a question turns on regulatory obligations, those obligations are traced to primary sources in the full ADSRA Technical Reference.</w:t>
      </w:r>
    </w:p>
    <w:p>
      <w:pPr>
        <w:spacing w:after="6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strongest contributions are concrete: a named workload, a worked estate, a specific service and region. Anecdote helps; evidence decides.</w:t>
      </w:r>
    </w:p>
    <w:p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ADSRA · OPEN QUESTION OQ-1</w:t>
      </w:r>
    </w:p>
    <w:p>
      <w:pPr>
        <w:pBdr>
          <w:bottom w:val="single" w:color="2E7DA6" w:sz="18" w:space="8"/>
        </w:pBdr>
        <w:spacing w:after="120"/>
      </w:pP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How many data-classification tiers are right?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Should sovereignty classification use four tiers (Low → Medium → High → Critical), or should the Medium tier split into commercial-sensitive versus personal data?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Classification is the engine of the architecture — it prices every control. Too few tiers and personal data hides inside a commercial tier, under-protected and exposed to the statutory tort of privacy; too many and the scheme collapses into over-classification, a known anti-pattern. Retail loyalty and behavioural data, and superannuation member data, are the pressure points.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Four tiers, held. We already place retail loyalty behaviour at High — the primary privacy exposure after payment data — rather than Medium. A Medium split is plausible, but it must earn its added complexity.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A worked example from your estate where a single Medium tier demonstrably mis-prices either commercial-sensitive or personal data — ideally with the control-cost consequence quantified.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Retail · Financial services &amp; superannuation</w:t>
      </w:r>
    </w:p>
    <w:p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ADSRA · OPEN QUESTION OQ-2</w:t>
      </w:r>
    </w:p>
    <w:p>
      <w:pPr>
        <w:pBdr>
          <w:bottom w:val="single" w:color="2E7DA6" w:sz="18" w:space="8"/>
        </w:pBdr>
        <w:spacing w:after="120"/>
      </w:pP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Hold-your-own-key: surgical or broad?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architecture recommends that hold-your-own-key (HYOK) and client-side encryption be applied "surgically, not universally." Is that the right line?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HYOK and client-side encryption are the strongest cryptographic-sovereignty controls — and the most expensive. They break real native cloud features: server-side search, some analytics, managed integrations. The "surgical" guidance is a deliberate honest trade-off that needs field evidence, not assertion.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Apply client-side encryption / HYOK only to assets whose threat model includes lawful compulsion of the cloud provider. Provider-managed keys for Low; customer-managed keys for Medium and High; HSM-backed customer-managed keys or HYOK for Critical. Applying it everywhere is self-harm.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A named workload with the before-and-after feature loss and the risk it bought — either vindicating "surgical", or showing a class of workload where broader application paid off.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Banking · Healthcare · Cross-industry / platform engineering</w:t>
      </w:r>
    </w:p>
    <w:p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ADSRA · OPEN QUESTION OQ-3</w:t>
      </w:r>
    </w:p>
    <w:p>
      <w:pPr>
        <w:pBdr>
          <w:bottom w:val="single" w:color="2E7DA6" w:sz="18" w:space="8"/>
        </w:pBdr>
        <w:spacing w:after="120"/>
      </w:pP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Autonomous sovereignty: who audits the auditor?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At the highest maturity level, AI agents assess and remediate the organisation’s own sovereignty posture. What evidence would convince a regulator that this agentic remediation is itself well-governed?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This is the model’s most novel contribution and its biggest exposure: the assurance system is itself an AI system, so it needs the same governance as any other AI workload — registered models, scoped tool permissions, budget limits, evidence trails. Without a regulator-credible evidence answer, autonomous assurance stays a slide, not a control. APRA's April 2026 AI letter points the same way: it expects second-line functions able to assess autonomous workflows, and monitoring proportionate to criticality.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Treat it as aspirational by design — pilots, not production, are the realistic target inside a 24-month planning window. Agentic assurance must be governed as an AI workload, and depends on strong observability as its telemetry substrate.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A concrete evidence package a regulator would accept for autonomous remediation: audit-trail schema, human-oversight thresholds proportionate to blast radius, fail-safe behaviours, and model / tool governance.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Risk &amp; regulatory practitioners · Banking</w:t>
      </w:r>
    </w:p>
    <w:p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ADSRA · OPEN QUESTION OQ-4</w:t>
      </w:r>
    </w:p>
    <w:p>
      <w:pPr>
        <w:pBdr>
          <w:bottom w:val="single" w:color="2E7DA6" w:sz="18" w:space="8"/>
        </w:pBdr>
        <w:spacing w:after="120"/>
      </w:pP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Utilities and education: are the drafted blueprints right?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Utilities and education blueprints were deferred from the first release and are now drafted in full. Are they right — and who can correct and extend them?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Both are priority verticals. Utilities (energy, gas, water) now sit under the enhanced critical-infrastructure risk-management rules (from 10 June 2026); education carries distinct student-data, children's-privacy and research-data profiles. A blueprint written without sector practitioners is the likeliest to be wrong.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Drafted, not settled. The blueprints are our considered view — marked as such in the Technical Reference — and we are explicitly inviting practitioners who live these sectors to correct them.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Corrections, or a co-author, for each blueprint — anchor obligations, Critical-tier assets, signature patterns and the worked example: named workloads, real obligations, and what we have got wrong.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Utilities (energy) · Education</w:t>
      </w:r>
    </w:p>
    <w:p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ADSRA · OPEN QUESTION OQ-5</w:t>
      </w:r>
    </w:p>
    <w:p>
      <w:pPr>
        <w:pBdr>
          <w:bottom w:val="single" w:color="2E7DA6" w:sz="18" w:space="8"/>
        </w:pBdr>
        <w:spacing w:after="120"/>
      </w:pP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Cloud-service mappings: what needs correcting?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indicative AWS / Azure / GCP mappings evolve quarterly. Which need correction against current Australian-region service capability before publication?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mappings are labelled indicative, not endorsements — but stale mappings erode credibility with an engineering audience fastest. This is the lowest-controversy, highest-hygiene item: verification work, not a debate.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Mappings are examples current at the time of writing. Validate service capabilities and regions before any design commitment — they are not endorsements. In-region AI-model availability is acknowledged to lag the global frontier; keep that caveat visible.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Practitioner corrections naming the service, the Australian region, and the current capability (for example: customer-managed-key / HSM support, in-region model availability, policy-as-code primitives) versus what the draft states.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Cross-industry · Cloud / platform engineering</w:t>
      </w:r>
    </w:p>
    <w:p>
      <w:r>
        <w:br w:type="page"/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2E7DA6"/>
          <w:spacing w:val="40"/>
          <w:sz w:val="18"/>
          <w:szCs w:val="18"/>
        </w:rPr>
        <w:t xml:space="preserve">AT A GLANCE</w:t>
      </w:r>
    </w:p>
    <w:p>
      <w:pPr>
        <w:pBdr>
          <w:bottom w:val="single" w:color="2E7DA6" w:sz="18" w:space="8"/>
        </w:pBdr>
        <w:spacing w:after="140"/>
      </w:pPr>
      <w:r>
        <w:rPr>
          <w:rFonts w:ascii="Poppins" w:cs="Poppins" w:eastAsia="Poppins" w:hAnsi="Poppins"/>
          <w:b/>
          <w:bCs/>
          <w:color w:val="2A363B"/>
          <w:sz w:val="34"/>
          <w:szCs w:val="34"/>
        </w:rPr>
        <w:t xml:space="preserve">The five questions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900"/>
        <w:gridCol w:w="2400"/>
      </w:tblGrid>
      <w:tr>
        <w:trPr>
          <w:tblHeader/>
        </w:trPr>
        <w:tc>
          <w:tcPr>
            <w:tcW w:type="dxa" w:w="3060"/>
            <w:shd w:fill="2A36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3900"/>
            <w:shd w:fill="2A36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What we’re seeking</w:t>
            </w:r>
          </w:p>
        </w:tc>
        <w:tc>
          <w:tcPr>
            <w:tcW w:type="dxa" w:w="2400"/>
            <w:shd w:fill="2A36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Most relevant</w:t>
            </w:r>
          </w:p>
        </w:tc>
      </w:tr>
      <w:tr>
        <w:tc>
          <w:tcPr>
            <w:tcW w:type="dxa" w:w="3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A363B"/>
                <w:sz w:val="18"/>
                <w:szCs w:val="18"/>
              </w:rPr>
              <w:t xml:space="preserve">OQ-1 — How many data-classification tiers are right?</w:t>
            </w:r>
          </w:p>
        </w:tc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A worked example from your estate where a single Medium tier demonstrably mis-prices either commercial-sensitive or personal data — ideally with the control-cost consequence quantified.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Retail · Financial services &amp; superannuation</w:t>
            </w:r>
          </w:p>
        </w:tc>
      </w:tr>
      <w:tr>
        <w:tc>
          <w:tcPr>
            <w:tcW w:type="dxa" w:w="3060"/>
            <w:shd w:fill="F6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A363B"/>
                <w:sz w:val="18"/>
                <w:szCs w:val="18"/>
              </w:rPr>
              <w:t xml:space="preserve">OQ-2 — Hold-your-own-key: surgical or broad?</w:t>
            </w:r>
          </w:p>
        </w:tc>
        <w:tc>
          <w:tcPr>
            <w:tcW w:type="dxa" w:w="3900"/>
            <w:shd w:fill="F6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A named workload with the before-and-after feature loss and the risk it bought — either vindicating "surgical", or showing a class of workload where broader application paid off.</w:t>
            </w:r>
          </w:p>
        </w:tc>
        <w:tc>
          <w:tcPr>
            <w:tcW w:type="dxa" w:w="2400"/>
            <w:shd w:fill="F6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Banking · Healthcare · Cross-industry / platform engineering</w:t>
            </w:r>
          </w:p>
        </w:tc>
      </w:tr>
      <w:tr>
        <w:tc>
          <w:tcPr>
            <w:tcW w:type="dxa" w:w="3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A363B"/>
                <w:sz w:val="18"/>
                <w:szCs w:val="18"/>
              </w:rPr>
              <w:t xml:space="preserve">OQ-3 — Autonomous sovereignty: who audits the auditor?</w:t>
            </w:r>
          </w:p>
        </w:tc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A concrete evidence package a regulator would accept for autonomous remediation: audit-trail schema, human-oversight thresholds proportionate to blast radius, fail-safe behaviours, and model / tool governance.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Risk &amp; regulatory practitioners · Banking</w:t>
            </w:r>
          </w:p>
        </w:tc>
      </w:tr>
      <w:tr>
        <w:tc>
          <w:tcPr>
            <w:tcW w:type="dxa" w:w="3060"/>
            <w:shd w:fill="F6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A363B"/>
                <w:sz w:val="18"/>
                <w:szCs w:val="18"/>
              </w:rPr>
              <w:t xml:space="preserve">OQ-4 — Utilities and education: are the drafted blueprints right?</w:t>
            </w:r>
          </w:p>
        </w:tc>
        <w:tc>
          <w:tcPr>
            <w:tcW w:type="dxa" w:w="3900"/>
            <w:shd w:fill="F6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Corrections, or a co-author, for each blueprint — anchor obligations, Critical-tier assets, signature patterns and the worked example: named workloads, real obligations, and what we have got wrong.</w:t>
            </w:r>
          </w:p>
        </w:tc>
        <w:tc>
          <w:tcPr>
            <w:tcW w:type="dxa" w:w="2400"/>
            <w:shd w:fill="F6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Utilities (energy) · Education</w:t>
            </w:r>
          </w:p>
        </w:tc>
      </w:tr>
      <w:tr>
        <w:tc>
          <w:tcPr>
            <w:tcW w:type="dxa" w:w="3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A363B"/>
                <w:sz w:val="18"/>
                <w:szCs w:val="18"/>
              </w:rPr>
              <w:t xml:space="preserve">OQ-5 — Cloud-service mappings: what needs correcting?</w:t>
            </w:r>
          </w:p>
        </w:tc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Practitioner corrections naming the service, the Australian region, and the current capability (for example: customer-managed-key / HSM support, in-region model availability, policy-as-code primitives) versus what the draft states.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A363B"/>
                <w:sz w:val="18"/>
                <w:szCs w:val="18"/>
              </w:rPr>
              <w:t xml:space="preserve">Cross-industry · Cloud / platform engineering</w:t>
            </w:r>
          </w:p>
        </w:tc>
      </w:tr>
    </w:tbl>
    <w:sectPr>
      <w:headerReference w:type="default" r:id="rIdGaiHdr"/>
      <w:footerReference w:type="first" r:id="rIdGaiFtr1"/>
      <w:footerReference w:type="default" r:id="rId7"/>
      <w:pgSz w:w="12240" w:h="15840" w:orient="portrait"/>
      <w:pgMar w:top="1080" w:right="1440" w:bottom="10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4" w:color="4B54C4"/>
      </w:pBdr>
      <w:tabs>
        <w:tab w:val="right" w:pos="9360"/>
      </w:tabs>
    </w:pPr>
    <w:r>
      <w:rPr>
        <w:noProof/>
      </w:rPr>
      <w:drawing>
        <wp:inline distT="0" distB="0" distL="0" distR="0">
          <wp:extent cx="242276" cy="165100"/>
          <wp:effectExtent l="0" t="0" r="0" b="0"/>
          <wp:docPr id="9003" name="Getamazednow-AI-Icon-Monochrome-I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tamazednow-AI-Icon-Monochrome-Ink.png"/>
                  <pic:cNvPicPr/>
                </pic:nvPicPr>
                <pic:blipFill>
                  <a:blip r:embed="rIdGaiMono"/>
                  <a:stretch>
                    <a:fillRect/>
                  </a:stretch>
                </pic:blipFill>
                <pic:spPr>
                  <a:xfrm>
                    <a:off x="0" y="0"/>
                    <a:ext cx="242276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bCs/>
        <w:color w:val="2A363B"/>
        <w:sz w:val="18"/>
        <w:szCs w:val="18"/>
      </w:rPr>
      <w:t xml:space="preserve">  Getamazednow AI</w:t>
    </w:r>
    <w:r>
      <w:rPr>
        <w:rFonts w:ascii="Inter" w:hAnsi="Inter" w:cs="Inter" w:eastAsia="Inter"/>
        <w:color w:val="6B797E"/>
        <w:sz w:val="16"/>
        <w:szCs w:val="16"/>
      </w:rPr>
      <w:tab/>
      <w:t xml:space="preserve">Five Open Questions  ·  ADSRA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DA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DA6"/>
      <w:sz w:val="26"/>
      <w:szCs w:val="26"/>
    </w:rPr>
  </w:style>
  <w:style w:type="paragraph" w:styleId="Heading3">
    <w:name w:val="Heading 3"/>
    <w:basedOn w:val="Normal"/>
    <w:next w:val="Normal"/>
    <w:qFormat/>
    <w:rPr>
      <w:color w:val="2E7D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DA6"/>
    </w:rPr>
  </w:style>
  <w:style w:type="paragraph" w:styleId="Heading5">
    <w:name w:val="Heading 5"/>
    <w:basedOn w:val="Normal"/>
    <w:next w:val="Normal"/>
    <w:qFormat/>
    <w:rPr>
      <w:color w:val="2E7DA6"/>
    </w:rPr>
  </w:style>
  <w:style w:type="paragraph" w:styleId="Heading6">
    <w:name w:val="Heading 6"/>
    <w:basedOn w:val="Normal"/>
    <w:next w:val="Normal"/>
    <w:qFormat/>
    <w:rPr>
      <w:color w:val="2E7DA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7DA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GaiHdr" Type="http://schemas.openxmlformats.org/officeDocument/2006/relationships/header" Target="header1.xml"/><Relationship Id="rIdGaiFtr1" Type="http://schemas.openxmlformats.org/officeDocument/2006/relationships/footer" Target="footer2.xml"/><Relationship Id="rIdGaiLogo" Type="http://schemas.openxmlformats.org/officeDocument/2006/relationships/image" Target="media/gai-logo-full-color.png"/><Relationship Id="rIdGaiGov" Type="http://schemas.openxmlformats.org/officeDocument/2006/relationships/image" Target="media/gai-module-gover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GaiMono" Type="http://schemas.openxmlformats.org/officeDocument/2006/relationships/image" Target="media/gai-icon-mono-in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ADSRA</dc:creator>
  <cp:lastModifiedBy>Un-named</cp:lastModifiedBy>
  <cp:revision>1</cp:revision>
  <dcterms:created xsi:type="dcterms:W3CDTF">2026-07-27T02:00:08.949Z</dcterms:created>
  <dcterms:modified xsi:type="dcterms:W3CDTF">2026-07-27T02:00:08.949Z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