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PartName="/word/header1.xml" ContentType="application/vnd.openxmlformats-officedocument.wordprocessingml.header+xml"/>
  <Override PartName="/word/footer2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80"/>
      </w:pPr>
      <w:r>
        <w:rPr>
          <w:noProof/>
        </w:rPr>
        <w:drawing>
          <wp:inline distT="0" distB="0" distL="0" distR="0">
            <wp:extent cx="1371600" cy="1246909"/>
            <wp:effectExtent l="0" t="0" r="0" b="0"/>
            <wp:docPr id="9001" name="Getamazednow-AI-Logo-Full-Colo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etamazednow-AI-Logo-Full-Color.png"/>
                    <pic:cNvPicPr/>
                  </pic:nvPicPr>
                  <pic:blipFill>
                    <a:blip r:embed="rIdGaiLogo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246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Poppins" w:cs="Poppins" w:eastAsia="Poppins" w:hAnsi="Poppins"/>
          <w:b/>
          <w:bCs/>
          <w:color w:val="4B54C4"/>
          <w:spacing w:val="40"/>
          <w:sz w:val="18"/>
          <w:szCs w:val="18"/>
        </w:rPr>
        <w:t xml:space="preserve">ADSRA · OPEN QUESTION OQ-1</w:t>
      </w:r>
    </w:p>
    <w:p>
      <w:pPr>
        <w:pBdr>
          <w:bottom w:val="single" w:color="4B54C4" w:sz="18" w:space="8"/>
        </w:pBdr>
        <w:spacing w:after="120"/>
      </w:pPr>
      <w:r>
        <w:rPr>
          <w:noProof/>
        </w:rPr>
        <w:drawing>
          <wp:inline distT="0" distB="0" distL="0" distR="0">
            <wp:extent cx="320040" cy="320040"/>
            <wp:effectExtent l="0" t="0" r="0" b="0"/>
            <wp:docPr id="9002" name="Getamazednow-AI-Module-Gover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etamazednow-AI-Module-Govern.png"/>
                    <pic:cNvPicPr/>
                  </pic:nvPicPr>
                  <pic:blipFill>
                    <a:blip r:embed="rIdGaiGov"/>
                    <a:stretch>
                      <a:fillRect/>
                    </a:stretch>
                  </pic:blipFill>
                  <pic:spPr>
                    <a:xfrm>
                      <a:off x="0" y="0"/>
                      <a:ext cx="320040" cy="32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oppins" w:hAnsi="Poppins" w:cs="Poppins" w:eastAsia="Poppins"/>
          <w:color w:val="2A363B"/>
          <w:sz w:val="40"/>
          <w:szCs w:val="40"/>
        </w:rPr>
        <w:t xml:space="preserve">  </w:t>
      </w:r>
      <w:r>
        <w:rPr>
          <w:rFonts w:ascii="Poppins" w:cs="Poppins" w:eastAsia="Poppins" w:hAnsi="Poppins"/>
          <w:b/>
          <w:bCs/>
          <w:color w:val="2A363B"/>
          <w:sz w:val="40"/>
          <w:szCs w:val="40"/>
        </w:rPr>
        <w:t xml:space="preserve">How many data-classification tiers are right?</w:t>
      </w:r>
    </w:p>
    <w:p>
      <w:pPr>
        <w:spacing w:after="60" w:before="220"/>
      </w:pPr>
      <w:r>
        <w:rPr>
          <w:rFonts w:ascii="Poppins" w:cs="Poppins" w:eastAsia="Poppins" w:hAnsi="Poppins"/>
          <w:b/>
          <w:bCs/>
          <w:color w:val="2A363B"/>
          <w:sz w:val="24"/>
          <w:szCs w:val="24"/>
        </w:rPr>
        <w:t xml:space="preserve">The question</w:t>
      </w:r>
    </w:p>
    <w:p>
      <w:pPr>
        <w:spacing w:after="100" w:line="276"/>
      </w:pPr>
      <w:r>
        <w:rPr>
          <w:rFonts w:ascii="Inter" w:cs="Inter" w:eastAsia="Inter" w:hAnsi="Inter"/>
          <w:color w:val="2A363B"/>
          <w:sz w:val="22"/>
          <w:szCs w:val="22"/>
        </w:rPr>
        <w:t xml:space="preserve">Should sovereignty classification use four tiers (Low → Medium → High → Critical), or should the Medium tier split into commercial-sensitive versus personal data?</w:t>
      </w:r>
    </w:p>
    <w:p>
      <w:pPr>
        <w:spacing w:after="60" w:before="220"/>
      </w:pPr>
      <w:r>
        <w:rPr>
          <w:rFonts w:ascii="Poppins" w:cs="Poppins" w:eastAsia="Poppins" w:hAnsi="Poppins"/>
          <w:b/>
          <w:bCs/>
          <w:color w:val="2A363B"/>
          <w:sz w:val="24"/>
          <w:szCs w:val="24"/>
        </w:rPr>
        <w:t xml:space="preserve">Why it matters</w:t>
      </w:r>
    </w:p>
    <w:p>
      <w:pPr>
        <w:spacing w:after="100" w:line="276"/>
      </w:pPr>
      <w:r>
        <w:rPr>
          <w:rFonts w:ascii="Inter" w:cs="Inter" w:eastAsia="Inter" w:hAnsi="Inter"/>
          <w:color w:val="2A363B"/>
          <w:sz w:val="22"/>
          <w:szCs w:val="22"/>
        </w:rPr>
        <w:t xml:space="preserve">Classification is the engine of the architecture — it prices every control. Too few tiers and personal data hides inside a commercial tier, under-protected and exposed to the statutory tort of privacy; too many and the scheme collapses into over-classification, a known anti-pattern. Retail loyalty and behavioural data, and superannuation member data, are the pressure points.</w:t>
      </w:r>
    </w:p>
    <w:p>
      <w:pPr>
        <w:spacing w:after="60" w:before="220"/>
      </w:pPr>
      <w:r>
        <w:rPr>
          <w:rFonts w:ascii="Poppins" w:cs="Poppins" w:eastAsia="Poppins" w:hAnsi="Poppins"/>
          <w:b/>
          <w:bCs/>
          <w:color w:val="2A363B"/>
          <w:sz w:val="24"/>
          <w:szCs w:val="24"/>
        </w:rPr>
        <w:t xml:space="preserve">Our current position  </w:t>
      </w:r>
      <w:r>
        <w:rPr>
          <w:rFonts w:ascii="Inter" w:cs="Inter" w:eastAsia="Inter" w:hAnsi="Inter"/>
          <w:i/>
          <w:iCs/>
          <w:color w:val="2E7DA6"/>
          <w:sz w:val="18"/>
          <w:szCs w:val="18"/>
        </w:rPr>
        <w:t xml:space="preserve">[a considered view, open to challenge]</w:t>
      </w:r>
    </w:p>
    <w:p>
      <w:pPr>
        <w:spacing w:after="100" w:line="276"/>
      </w:pPr>
      <w:r>
        <w:rPr>
          <w:rFonts w:ascii="Inter" w:cs="Inter" w:eastAsia="Inter" w:hAnsi="Inter"/>
          <w:color w:val="2A363B"/>
          <w:sz w:val="22"/>
          <w:szCs w:val="22"/>
        </w:rPr>
        <w:t xml:space="preserve">Four tiers, held. We already place retail loyalty behaviour at High — the primary privacy exposure after payment data — rather than Medium. A Medium split is plausible, but it must earn its added complexity.</w:t>
      </w:r>
    </w:p>
    <w:p>
      <w:pPr>
        <w:spacing w:after="60" w:before="120"/>
      </w:pPr>
    </w:p>
    <w:tbl>
      <w:tblPr>
        <w:tblW w:type="dxa" w:w="9360"/>
        <w:tblBorders>
          <w:top w:val="single" w:color="2E7DA6" w:sz="2"/>
          <w:left w:val="single" w:color="2E7DA6" w:sz="18"/>
          <w:bottom w:val="single" w:color="2E7DA6" w:sz="2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6F7F7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Poppins" w:cs="Poppins" w:eastAsia="Poppins" w:hAnsi="Poppins"/>
                <w:b/>
                <w:bCs/>
                <w:color w:val="2A363B"/>
                <w:sz w:val="22"/>
                <w:szCs w:val="22"/>
              </w:rPr>
              <w:t xml:space="preserve">What we’re seeking from you</w:t>
            </w:r>
          </w:p>
          <w:p>
            <w:r>
              <w:rPr>
                <w:rFonts w:ascii="Inter" w:cs="Inter" w:eastAsia="Inter" w:hAnsi="Inter"/>
                <w:color w:val="2A363B"/>
                <w:sz w:val="22"/>
                <w:szCs w:val="22"/>
              </w:rPr>
              <w:t xml:space="preserve">A worked example from your estate where a single Medium tier demonstrably mis-prices either commercial-sensitive or personal data — ideally with the control-cost consequence quantified.</w:t>
            </w:r>
          </w:p>
        </w:tc>
      </w:tr>
    </w:tbl>
    <w:p>
      <w:pPr>
        <w:spacing w:after="60" w:before="160"/>
      </w:pPr>
      <w:r>
        <w:rPr>
          <w:rFonts w:ascii="Inter" w:cs="Inter" w:eastAsia="Inter" w:hAnsi="Inter"/>
          <w:b/>
          <w:bCs/>
          <w:color w:val="2A363B"/>
          <w:sz w:val="20"/>
          <w:szCs w:val="20"/>
        </w:rPr>
        <w:t xml:space="preserve">Where this is most relevant:  </w:t>
      </w:r>
      <w:r>
        <w:rPr>
          <w:rFonts w:ascii="Inter" w:cs="Inter" w:eastAsia="Inter" w:hAnsi="Inter"/>
          <w:color w:val="2A363B"/>
          <w:sz w:val="20"/>
          <w:szCs w:val="20"/>
        </w:rPr>
        <w:t xml:space="preserve">Retail · Financial services &amp; superannuation</w:t>
      </w:r>
    </w:p>
    <w:sectPr>
      <w:headerReference w:type="default" r:id="rIdGaiHdr"/>
      <w:footerReference w:type="first" r:id="rIdGaiFtr1"/>
      <w:footerReference w:type="default" r:id="rId7"/>
      <w:pgSz w:w="12240" w:h="15840" w:orient="portrait"/>
      <w:pgMar w:top="1080" w:right="1440" w:bottom="100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5DADB" w:sz="6" w:space="6"/>
      </w:pBdr>
      <w:jc w:val="center"/>
    </w:pPr>
    <w:r>
      <w:rPr>
        <w:rFonts w:ascii="Inter" w:cs="Inter" w:eastAsia="Inter" w:hAnsi="Inter"/>
        <w:color w:val="6B797E"/>
        <w:sz w:val="15"/>
        <w:szCs w:val="15"/>
      </w:rPr>
      <w:t xml:space="preserve">ADSRA — Australian Digital Sovereignty Reference Architecture  ·  Consultation brief (v0.3)  ·  Positions marked as views are open to challenge</w:t>
    </w:r>
  </w:p>
  <w:p>
    <w:pPr>
      <w:tabs>
        <w:tab w:val="center" w:pos="4680"/>
        <w:tab w:val="right" w:pos="9360"/>
      </w:tabs>
      <w:spacing w:before="60"/>
    </w:pPr>
    <w:r>
      <w:rPr>
        <w:rFonts w:ascii="Poppins" w:hAnsi="Poppins" w:cs="Poppins" w:eastAsia="Poppins"/>
        <w:color w:val="A8A17B"/>
        <w:sz w:val="16"/>
        <w:szCs w:val="16"/>
      </w:rPr>
      <w:t>A Getamazednow Company</w:t>
    </w:r>
    <w:r>
      <w:rPr>
        <w:rFonts w:ascii="Inter" w:hAnsi="Inter" w:cs="Inter" w:eastAsia="Inter"/>
        <w:color w:val="6B797E"/>
        <w:sz w:val="16"/>
        <w:szCs w:val="16"/>
      </w:rPr>
      <w:tab/>
      <w:t>see it · prove it · stand behind it</w:t>
    </w:r>
    <w:r>
      <w:rPr>
        <w:rFonts w:ascii="Inter" w:hAnsi="Inter" w:cs="Inter" w:eastAsia="Inter"/>
        <w:color w:val="6B797E"/>
        <w:sz w:val="16"/>
        <w:szCs w:val="16"/>
      </w:rPr>
      <w:tab/>
    </w:r>
    <w:r>
      <w:rPr>
        <w:rFonts w:ascii="Inter" w:hAnsi="Inter" w:cs="Inter" w:eastAsia="Inter"/>
        <w:color w:val="6B797E"/>
        <w:sz w:val="16"/>
        <w:szCs w:val="16"/>
      </w:rPr>
      <w:fldChar w:fldCharType="begin"/>
    </w:r>
    <w:r>
      <w:rPr>
        <w:rFonts w:ascii="Inter" w:hAnsi="Inter" w:cs="Inter" w:eastAsia="Inter"/>
        <w:color w:val="6B797E"/>
        <w:sz w:val="16"/>
        <w:szCs w:val="16"/>
      </w:rPr>
      <w:instrText xml:space="preserve"> PAGE </w:instrText>
    </w:r>
    <w:r>
      <w:rPr>
        <w:rFonts w:ascii="Inter" w:hAnsi="Inter" w:cs="Inter" w:eastAsia="Inter"/>
        <w:color w:val="6B797E"/>
        <w:sz w:val="16"/>
        <w:szCs w:val="16"/>
      </w:rPr>
      <w:fldChar w:fldCharType="separate"/>
    </w:r>
    <w:r>
      <w:rPr>
        <w:rFonts w:ascii="Inter" w:hAnsi="Inter" w:cs="Inter" w:eastAsia="Inter"/>
        <w:color w:val="6B797E"/>
        <w:sz w:val="16"/>
        <w:szCs w:val="16"/>
      </w:rPr>
      <w:t>1</w:t>
    </w:r>
    <w:r>
      <w:rPr>
        <w:rFonts w:ascii="Inter" w:hAnsi="Inter" w:cs="Inter" w:eastAsia="Inter"/>
        <w:color w:val="6B797E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5DADB" w:sz="6" w:space="6"/>
      </w:pBdr>
      <w:jc w:val="center"/>
    </w:pPr>
    <w:r>
      <w:rPr>
        <w:rFonts w:ascii="Inter" w:cs="Inter" w:eastAsia="Inter" w:hAnsi="Inter"/>
        <w:color w:val="6B797E"/>
        <w:sz w:val="15"/>
        <w:szCs w:val="15"/>
      </w:rPr>
      <w:t xml:space="preserve">ADSRA — Australian Digital Sovereignty Reference Architecture  ·  Consultation brief (v0.3)  ·  Positions marked as views are open to challenge</w:t>
    </w:r>
  </w:p>
  <w:p>
    <w:pPr>
      <w:tabs>
        <w:tab w:val="center" w:pos="4680"/>
        <w:tab w:val="right" w:pos="9360"/>
      </w:tabs>
      <w:spacing w:before="60"/>
    </w:pPr>
    <w:r>
      <w:rPr>
        <w:rFonts w:ascii="Poppins" w:hAnsi="Poppins" w:cs="Poppins" w:eastAsia="Poppins"/>
        <w:color w:val="A8A17B"/>
        <w:sz w:val="16"/>
        <w:szCs w:val="16"/>
      </w:rPr>
      <w:t>A Getamazednow Company</w:t>
    </w:r>
    <w:r>
      <w:rPr>
        <w:rFonts w:ascii="Inter" w:hAnsi="Inter" w:cs="Inter" w:eastAsia="Inter"/>
        <w:color w:val="6B797E"/>
        <w:sz w:val="16"/>
        <w:szCs w:val="16"/>
      </w:rPr>
      <w:tab/>
      <w:t>see it · prove it · stand behind it</w:t>
    </w:r>
    <w:r>
      <w:rPr>
        <w:rFonts w:ascii="Inter" w:hAnsi="Inter" w:cs="Inter" w:eastAsia="Inter"/>
        <w:color w:val="6B797E"/>
        <w:sz w:val="16"/>
        <w:szCs w:val="16"/>
      </w:rPr>
      <w:tab/>
    </w:r>
    <w:r>
      <w:rPr>
        <w:rFonts w:ascii="Inter" w:hAnsi="Inter" w:cs="Inter" w:eastAsia="Inter"/>
        <w:color w:val="6B797E"/>
        <w:sz w:val="16"/>
        <w:szCs w:val="16"/>
      </w:rPr>
      <w:fldChar w:fldCharType="begin"/>
    </w:r>
    <w:r>
      <w:rPr>
        <w:rFonts w:ascii="Inter" w:hAnsi="Inter" w:cs="Inter" w:eastAsia="Inter"/>
        <w:color w:val="6B797E"/>
        <w:sz w:val="16"/>
        <w:szCs w:val="16"/>
      </w:rPr>
      <w:instrText xml:space="preserve"> PAGE </w:instrText>
    </w:r>
    <w:r>
      <w:rPr>
        <w:rFonts w:ascii="Inter" w:hAnsi="Inter" w:cs="Inter" w:eastAsia="Inter"/>
        <w:color w:val="6B797E"/>
        <w:sz w:val="16"/>
        <w:szCs w:val="16"/>
      </w:rPr>
      <w:fldChar w:fldCharType="separate"/>
    </w:r>
    <w:r>
      <w:rPr>
        <w:rFonts w:ascii="Inter" w:hAnsi="Inter" w:cs="Inter" w:eastAsia="Inter"/>
        <w:color w:val="6B797E"/>
        <w:sz w:val="16"/>
        <w:szCs w:val="16"/>
      </w:rPr>
      <w:t>1</w:t>
    </w:r>
    <w:r>
      <w:rPr>
        <w:rFonts w:ascii="Inter" w:hAnsi="Inter" w:cs="Inter" w:eastAsia="Inter"/>
        <w:color w:val="6B797E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>
  <w:p>
    <w:pPr>
      <w:pBdr>
        <w:bottom w:val="single" w:sz="6" w:space="4" w:color="4B54C4"/>
      </w:pBdr>
      <w:tabs>
        <w:tab w:val="right" w:pos="9360"/>
      </w:tabs>
    </w:pPr>
    <w:r>
      <w:rPr>
        <w:noProof/>
      </w:rPr>
      <w:drawing>
        <wp:inline distT="0" distB="0" distL="0" distR="0">
          <wp:extent cx="242276" cy="165100"/>
          <wp:effectExtent l="0" t="0" r="0" b="0"/>
          <wp:docPr id="9003" name="Getamazednow-AI-Icon-Monochrome-Ink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Getamazednow-AI-Icon-Monochrome-Ink.png"/>
                  <pic:cNvPicPr/>
                </pic:nvPicPr>
                <pic:blipFill>
                  <a:blip r:embed="rIdGaiMono"/>
                  <a:stretch>
                    <a:fillRect/>
                  </a:stretch>
                </pic:blipFill>
                <pic:spPr>
                  <a:xfrm>
                    <a:off x="0" y="0"/>
                    <a:ext cx="242276" cy="165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Poppins" w:hAnsi="Poppins" w:cs="Poppins" w:eastAsia="Poppins"/>
        <w:b/>
        <w:bCs/>
        <w:color w:val="2A363B"/>
        <w:sz w:val="18"/>
        <w:szCs w:val="18"/>
      </w:rPr>
      <w:t xml:space="preserve">  Getamazednow AI</w:t>
    </w:r>
    <w:r>
      <w:rPr>
        <w:rFonts w:ascii="Inter" w:hAnsi="Inter" w:cs="Inter" w:eastAsia="Inter"/>
        <w:color w:val="6B797E"/>
        <w:sz w:val="16"/>
        <w:szCs w:val="16"/>
      </w:rPr>
      <w:tab/>
      <w:t xml:space="preserve">How many data-classification tiers are right?  ·  ADSRA v0.3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DA6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DA6"/>
      <w:sz w:val="26"/>
      <w:szCs w:val="26"/>
    </w:rPr>
  </w:style>
  <w:style w:type="paragraph" w:styleId="Heading3">
    <w:name w:val="Heading 3"/>
    <w:basedOn w:val="Normal"/>
    <w:next w:val="Normal"/>
    <w:qFormat/>
    <w:rPr>
      <w:color w:val="2E7DA6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DA6"/>
    </w:rPr>
  </w:style>
  <w:style w:type="paragraph" w:styleId="Heading5">
    <w:name w:val="Heading 5"/>
    <w:basedOn w:val="Normal"/>
    <w:next w:val="Normal"/>
    <w:qFormat/>
    <w:rPr>
      <w:color w:val="2E7DA6"/>
    </w:rPr>
  </w:style>
  <w:style w:type="paragraph" w:styleId="Heading6">
    <w:name w:val="Heading 6"/>
    <w:basedOn w:val="Normal"/>
    <w:next w:val="Normal"/>
    <w:qFormat/>
    <w:rPr>
      <w:color w:val="2E7DA6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2E7DA6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Relationship Id="rIdGaiHdr" Type="http://schemas.openxmlformats.org/officeDocument/2006/relationships/header" Target="header1.xml"/><Relationship Id="rIdGaiFtr1" Type="http://schemas.openxmlformats.org/officeDocument/2006/relationships/footer" Target="footer2.xml"/><Relationship Id="rIdGaiLogo" Type="http://schemas.openxmlformats.org/officeDocument/2006/relationships/image" Target="media/gai-logo-full-color.png"/><Relationship Id="rIdGaiGov" Type="http://schemas.openxmlformats.org/officeDocument/2006/relationships/image" Target="media/gai-module-govern.png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 standalone="yes"?><Relationships xmlns="http://schemas.openxmlformats.org/package/2006/relationships"><Relationship Id="rIdGaiMono" Type="http://schemas.openxmlformats.org/officeDocument/2006/relationships/image" Target="media/gai-icon-mono-ink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ADSRA</dc:creator>
  <cp:lastModifiedBy>Un-named</cp:lastModifiedBy>
  <cp:revision>1</cp:revision>
  <dcterms:created xsi:type="dcterms:W3CDTF">2026-07-27T02:00:08.919Z</dcterms:created>
  <dcterms:modified xsi:type="dcterms:W3CDTF">2026-07-27T02:00:08.919Z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