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PartName="/word/header1.xml" ContentType="application/vnd.openxmlformats-officedocument.wordprocessingml.header+xml"/>
  <Override PartName="/word/footer2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80"/>
      </w:pPr>
      <w:r>
        <w:rPr>
          <w:noProof/>
        </w:rPr>
        <w:drawing>
          <wp:inline distT="0" distB="0" distL="0" distR="0">
            <wp:extent cx="1371600" cy="1246909"/>
            <wp:effectExtent l="0" t="0" r="0" b="0"/>
            <wp:docPr id="9001" name="Getamazednow-AI-Logo-Full-Colo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etamazednow-AI-Logo-Full-Color.png"/>
                    <pic:cNvPicPr/>
                  </pic:nvPicPr>
                  <pic:blipFill>
                    <a:blip r:embed="rIdGaiLogo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246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rFonts w:ascii="Poppins" w:cs="Poppins" w:eastAsia="Poppins" w:hAnsi="Poppins"/>
          <w:b/>
          <w:bCs/>
          <w:color w:val="4B54C4"/>
          <w:spacing w:val="40"/>
          <w:sz w:val="18"/>
          <w:szCs w:val="18"/>
        </w:rPr>
        <w:t xml:space="preserve">ADSRA · OPEN QUESTION OQ-2</w:t>
      </w:r>
    </w:p>
    <w:p>
      <w:pPr>
        <w:pBdr>
          <w:bottom w:val="single" w:color="4B54C4" w:sz="18" w:space="8"/>
        </w:pBdr>
        <w:spacing w:after="120"/>
      </w:pPr>
      <w:r>
        <w:rPr>
          <w:noProof/>
        </w:rPr>
        <w:drawing>
          <wp:inline distT="0" distB="0" distL="0" distR="0">
            <wp:extent cx="320040" cy="320040"/>
            <wp:effectExtent l="0" t="0" r="0" b="0"/>
            <wp:docPr id="9002" name="Getamazednow-AI-Module-Gover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etamazednow-AI-Module-Govern.png"/>
                    <pic:cNvPicPr/>
                  </pic:nvPicPr>
                  <pic:blipFill>
                    <a:blip r:embed="rIdGaiGov"/>
                    <a:stretch>
                      <a:fillRect/>
                    </a:stretch>
                  </pic:blipFill>
                  <pic:spPr>
                    <a:xfrm>
                      <a:off x="0" y="0"/>
                      <a:ext cx="320040" cy="32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oppins" w:hAnsi="Poppins" w:cs="Poppins" w:eastAsia="Poppins"/>
          <w:color w:val="2A363B"/>
          <w:sz w:val="40"/>
          <w:szCs w:val="40"/>
        </w:rPr>
        <w:t xml:space="preserve">  </w:t>
      </w:r>
      <w:r>
        <w:rPr>
          <w:rFonts w:ascii="Poppins" w:cs="Poppins" w:eastAsia="Poppins" w:hAnsi="Poppins"/>
          <w:b/>
          <w:bCs/>
          <w:color w:val="2A363B"/>
          <w:sz w:val="40"/>
          <w:szCs w:val="40"/>
        </w:rPr>
        <w:t xml:space="preserve">Hold-your-own-key: surgical or broad?</w:t>
      </w:r>
    </w:p>
    <w:p>
      <w:pPr>
        <w:spacing w:after="60" w:before="220"/>
      </w:pPr>
      <w:r>
        <w:rPr>
          <w:rFonts w:ascii="Poppins" w:cs="Poppins" w:eastAsia="Poppins" w:hAnsi="Poppins"/>
          <w:b/>
          <w:bCs/>
          <w:color w:val="2A363B"/>
          <w:sz w:val="24"/>
          <w:szCs w:val="24"/>
        </w:rPr>
        <w:t xml:space="preserve">The question</w:t>
      </w:r>
    </w:p>
    <w:p>
      <w:pPr>
        <w:spacing w:after="100" w:line="276"/>
      </w:pPr>
      <w:r>
        <w:rPr>
          <w:rFonts w:ascii="Inter" w:cs="Inter" w:eastAsia="Inter" w:hAnsi="Inter"/>
          <w:color w:val="2A363B"/>
          <w:sz w:val="22"/>
          <w:szCs w:val="22"/>
        </w:rPr>
        <w:t xml:space="preserve">The architecture recommends that hold-your-own-key (HYOK) and client-side encryption be applied "surgically, not universally." Is that the right line?</w:t>
      </w:r>
    </w:p>
    <w:p>
      <w:pPr>
        <w:spacing w:after="60" w:before="220"/>
      </w:pPr>
      <w:r>
        <w:rPr>
          <w:rFonts w:ascii="Poppins" w:cs="Poppins" w:eastAsia="Poppins" w:hAnsi="Poppins"/>
          <w:b/>
          <w:bCs/>
          <w:color w:val="2A363B"/>
          <w:sz w:val="24"/>
          <w:szCs w:val="24"/>
        </w:rPr>
        <w:t xml:space="preserve">Why it matters</w:t>
      </w:r>
    </w:p>
    <w:p>
      <w:pPr>
        <w:spacing w:after="100" w:line="276"/>
      </w:pPr>
      <w:r>
        <w:rPr>
          <w:rFonts w:ascii="Inter" w:cs="Inter" w:eastAsia="Inter" w:hAnsi="Inter"/>
          <w:color w:val="2A363B"/>
          <w:sz w:val="22"/>
          <w:szCs w:val="22"/>
        </w:rPr>
        <w:t xml:space="preserve">HYOK and client-side encryption are the strongest cryptographic-sovereignty controls — and the most expensive. They break real native cloud features: server-side search, some analytics, managed integrations. The "surgical" guidance is a deliberate honest trade-off that needs field evidence, not assertion.</w:t>
      </w:r>
    </w:p>
    <w:p>
      <w:pPr>
        <w:spacing w:after="60" w:before="220"/>
      </w:pPr>
      <w:r>
        <w:rPr>
          <w:rFonts w:ascii="Poppins" w:cs="Poppins" w:eastAsia="Poppins" w:hAnsi="Poppins"/>
          <w:b/>
          <w:bCs/>
          <w:color w:val="2A363B"/>
          <w:sz w:val="24"/>
          <w:szCs w:val="24"/>
        </w:rPr>
        <w:t xml:space="preserve">Our current position  </w:t>
      </w:r>
      <w:r>
        <w:rPr>
          <w:rFonts w:ascii="Inter" w:cs="Inter" w:eastAsia="Inter" w:hAnsi="Inter"/>
          <w:i/>
          <w:iCs/>
          <w:color w:val="2E7DA6"/>
          <w:sz w:val="18"/>
          <w:szCs w:val="18"/>
        </w:rPr>
        <w:t xml:space="preserve">[a considered view, open to challenge]</w:t>
      </w:r>
    </w:p>
    <w:p>
      <w:pPr>
        <w:spacing w:after="100" w:line="276"/>
      </w:pPr>
      <w:r>
        <w:rPr>
          <w:rFonts w:ascii="Inter" w:cs="Inter" w:eastAsia="Inter" w:hAnsi="Inter"/>
          <w:color w:val="2A363B"/>
          <w:sz w:val="22"/>
          <w:szCs w:val="22"/>
        </w:rPr>
        <w:t xml:space="preserve">Apply client-side encryption / HYOK only to assets whose threat model includes lawful compulsion of the cloud provider. Provider-managed keys for Low; customer-managed keys for Medium and High; HSM-backed customer-managed keys or HYOK for Critical. Applying it everywhere is self-harm.</w:t>
      </w:r>
    </w:p>
    <w:p>
      <w:pPr>
        <w:spacing w:after="60" w:before="120"/>
      </w:pPr>
    </w:p>
    <w:tbl>
      <w:tblPr>
        <w:tblW w:type="dxa" w:w="9360"/>
        <w:tblBorders>
          <w:top w:val="single" w:color="2E7DA6" w:sz="2"/>
          <w:left w:val="single" w:color="2E7DA6" w:sz="18"/>
          <w:bottom w:val="single" w:color="2E7DA6" w:sz="2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6F7F7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Poppins" w:cs="Poppins" w:eastAsia="Poppins" w:hAnsi="Poppins"/>
                <w:b/>
                <w:bCs/>
                <w:color w:val="2A363B"/>
                <w:sz w:val="22"/>
                <w:szCs w:val="22"/>
              </w:rPr>
              <w:t xml:space="preserve">What we’re seeking from you</w:t>
            </w:r>
          </w:p>
          <w:p>
            <w:r>
              <w:rPr>
                <w:rFonts w:ascii="Inter" w:cs="Inter" w:eastAsia="Inter" w:hAnsi="Inter"/>
                <w:color w:val="2A363B"/>
                <w:sz w:val="22"/>
                <w:szCs w:val="22"/>
              </w:rPr>
              <w:t xml:space="preserve">A named workload with the before-and-after feature loss and the risk it bought — either vindicating "surgical", or showing a class of workload where broader application paid off.</w:t>
            </w:r>
          </w:p>
        </w:tc>
      </w:tr>
    </w:tbl>
    <w:p>
      <w:pPr>
        <w:spacing w:after="60" w:before="160"/>
      </w:pPr>
      <w:r>
        <w:rPr>
          <w:rFonts w:ascii="Inter" w:cs="Inter" w:eastAsia="Inter" w:hAnsi="Inter"/>
          <w:b/>
          <w:bCs/>
          <w:color w:val="2A363B"/>
          <w:sz w:val="20"/>
          <w:szCs w:val="20"/>
        </w:rPr>
        <w:t xml:space="preserve">Where this is most relevant:  </w:t>
      </w:r>
      <w:r>
        <w:rPr>
          <w:rFonts w:ascii="Inter" w:cs="Inter" w:eastAsia="Inter" w:hAnsi="Inter"/>
          <w:color w:val="2A363B"/>
          <w:sz w:val="20"/>
          <w:szCs w:val="20"/>
        </w:rPr>
        <w:t xml:space="preserve">Banking · Healthcare · Cross-industry / platform engineering</w:t>
      </w:r>
    </w:p>
    <w:sectPr>
      <w:headerReference w:type="default" r:id="rIdGaiHdr"/>
      <w:footerReference w:type="first" r:id="rIdGaiFtr1"/>
      <w:footerReference w:type="default" r:id="rId7"/>
      <w:pgSz w:w="12240" w:h="15840" w:orient="portrait"/>
      <w:pgMar w:top="1080" w:right="1440" w:bottom="1000" w:left="144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5DADB" w:sz="6" w:space="6"/>
      </w:pBdr>
      <w:jc w:val="center"/>
    </w:pPr>
    <w:r>
      <w:rPr>
        <w:rFonts w:ascii="Inter" w:cs="Inter" w:eastAsia="Inter" w:hAnsi="Inter"/>
        <w:color w:val="6B797E"/>
        <w:sz w:val="15"/>
        <w:szCs w:val="15"/>
      </w:rPr>
      <w:t xml:space="preserve">ADSRA — Australian Digital Sovereignty Reference Architecture  ·  Consultation brief (v0.3)  ·  Positions marked as views are open to challenge</w:t>
    </w:r>
  </w:p>
  <w:p>
    <w:pPr>
      <w:tabs>
        <w:tab w:val="center" w:pos="4680"/>
        <w:tab w:val="right" w:pos="9360"/>
      </w:tabs>
      <w:spacing w:before="60"/>
    </w:pPr>
    <w:r>
      <w:rPr>
        <w:rFonts w:ascii="Poppins" w:hAnsi="Poppins" w:cs="Poppins" w:eastAsia="Poppins"/>
        <w:color w:val="A8A17B"/>
        <w:sz w:val="16"/>
        <w:szCs w:val="16"/>
      </w:rPr>
      <w:t>A Getamazednow Company</w:t>
    </w:r>
    <w:r>
      <w:rPr>
        <w:rFonts w:ascii="Inter" w:hAnsi="Inter" w:cs="Inter" w:eastAsia="Inter"/>
        <w:color w:val="6B797E"/>
        <w:sz w:val="16"/>
        <w:szCs w:val="16"/>
      </w:rPr>
      <w:tab/>
      <w:t>see it · prove it · stand behind it</w:t>
    </w:r>
    <w:r>
      <w:rPr>
        <w:rFonts w:ascii="Inter" w:hAnsi="Inter" w:cs="Inter" w:eastAsia="Inter"/>
        <w:color w:val="6B797E"/>
        <w:sz w:val="16"/>
        <w:szCs w:val="16"/>
      </w:rPr>
      <w:tab/>
    </w:r>
    <w:r>
      <w:rPr>
        <w:rFonts w:ascii="Inter" w:hAnsi="Inter" w:cs="Inter" w:eastAsia="Inter"/>
        <w:color w:val="6B797E"/>
        <w:sz w:val="16"/>
        <w:szCs w:val="16"/>
      </w:rPr>
      <w:fldChar w:fldCharType="begin"/>
    </w:r>
    <w:r>
      <w:rPr>
        <w:rFonts w:ascii="Inter" w:hAnsi="Inter" w:cs="Inter" w:eastAsia="Inter"/>
        <w:color w:val="6B797E"/>
        <w:sz w:val="16"/>
        <w:szCs w:val="16"/>
      </w:rPr>
      <w:instrText xml:space="preserve"> PAGE </w:instrText>
    </w:r>
    <w:r>
      <w:rPr>
        <w:rFonts w:ascii="Inter" w:hAnsi="Inter" w:cs="Inter" w:eastAsia="Inter"/>
        <w:color w:val="6B797E"/>
        <w:sz w:val="16"/>
        <w:szCs w:val="16"/>
      </w:rPr>
      <w:fldChar w:fldCharType="separate"/>
    </w:r>
    <w:r>
      <w:rPr>
        <w:rFonts w:ascii="Inter" w:hAnsi="Inter" w:cs="Inter" w:eastAsia="Inter"/>
        <w:color w:val="6B797E"/>
        <w:sz w:val="16"/>
        <w:szCs w:val="16"/>
      </w:rPr>
      <w:t>1</w:t>
    </w:r>
    <w:r>
      <w:rPr>
        <w:rFonts w:ascii="Inter" w:hAnsi="Inter" w:cs="Inter" w:eastAsia="Inter"/>
        <w:color w:val="6B797E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5DADB" w:sz="6" w:space="6"/>
      </w:pBdr>
      <w:jc w:val="center"/>
    </w:pPr>
    <w:r>
      <w:rPr>
        <w:rFonts w:ascii="Inter" w:cs="Inter" w:eastAsia="Inter" w:hAnsi="Inter"/>
        <w:color w:val="6B797E"/>
        <w:sz w:val="15"/>
        <w:szCs w:val="15"/>
      </w:rPr>
      <w:t xml:space="preserve">ADSRA — Australian Digital Sovereignty Reference Architecture  ·  Consultation brief (v0.3)  ·  Positions marked as views are open to challenge</w:t>
    </w:r>
  </w:p>
  <w:p>
    <w:pPr>
      <w:tabs>
        <w:tab w:val="center" w:pos="4680"/>
        <w:tab w:val="right" w:pos="9360"/>
      </w:tabs>
      <w:spacing w:before="60"/>
    </w:pPr>
    <w:r>
      <w:rPr>
        <w:rFonts w:ascii="Poppins" w:hAnsi="Poppins" w:cs="Poppins" w:eastAsia="Poppins"/>
        <w:color w:val="A8A17B"/>
        <w:sz w:val="16"/>
        <w:szCs w:val="16"/>
      </w:rPr>
      <w:t>A Getamazednow Company</w:t>
    </w:r>
    <w:r>
      <w:rPr>
        <w:rFonts w:ascii="Inter" w:hAnsi="Inter" w:cs="Inter" w:eastAsia="Inter"/>
        <w:color w:val="6B797E"/>
        <w:sz w:val="16"/>
        <w:szCs w:val="16"/>
      </w:rPr>
      <w:tab/>
      <w:t>see it · prove it · stand behind it</w:t>
    </w:r>
    <w:r>
      <w:rPr>
        <w:rFonts w:ascii="Inter" w:hAnsi="Inter" w:cs="Inter" w:eastAsia="Inter"/>
        <w:color w:val="6B797E"/>
        <w:sz w:val="16"/>
        <w:szCs w:val="16"/>
      </w:rPr>
      <w:tab/>
    </w:r>
    <w:r>
      <w:rPr>
        <w:rFonts w:ascii="Inter" w:hAnsi="Inter" w:cs="Inter" w:eastAsia="Inter"/>
        <w:color w:val="6B797E"/>
        <w:sz w:val="16"/>
        <w:szCs w:val="16"/>
      </w:rPr>
      <w:fldChar w:fldCharType="begin"/>
    </w:r>
    <w:r>
      <w:rPr>
        <w:rFonts w:ascii="Inter" w:hAnsi="Inter" w:cs="Inter" w:eastAsia="Inter"/>
        <w:color w:val="6B797E"/>
        <w:sz w:val="16"/>
        <w:szCs w:val="16"/>
      </w:rPr>
      <w:instrText xml:space="preserve"> PAGE </w:instrText>
    </w:r>
    <w:r>
      <w:rPr>
        <w:rFonts w:ascii="Inter" w:hAnsi="Inter" w:cs="Inter" w:eastAsia="Inter"/>
        <w:color w:val="6B797E"/>
        <w:sz w:val="16"/>
        <w:szCs w:val="16"/>
      </w:rPr>
      <w:fldChar w:fldCharType="separate"/>
    </w:r>
    <w:r>
      <w:rPr>
        <w:rFonts w:ascii="Inter" w:hAnsi="Inter" w:cs="Inter" w:eastAsia="Inter"/>
        <w:color w:val="6B797E"/>
        <w:sz w:val="16"/>
        <w:szCs w:val="16"/>
      </w:rPr>
      <w:t>1</w:t>
    </w:r>
    <w:r>
      <w:rPr>
        <w:rFonts w:ascii="Inter" w:hAnsi="Inter" w:cs="Inter" w:eastAsia="Inter"/>
        <w:color w:val="6B797E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>
  <w:p>
    <w:pPr>
      <w:pBdr>
        <w:bottom w:val="single" w:sz="6" w:space="4" w:color="4B54C4"/>
      </w:pBdr>
      <w:tabs>
        <w:tab w:val="right" w:pos="9360"/>
      </w:tabs>
    </w:pPr>
    <w:r>
      <w:rPr>
        <w:noProof/>
      </w:rPr>
      <w:drawing>
        <wp:inline distT="0" distB="0" distL="0" distR="0">
          <wp:extent cx="242276" cy="165100"/>
          <wp:effectExtent l="0" t="0" r="0" b="0"/>
          <wp:docPr id="9003" name="Getamazednow-AI-Icon-Monochrome-Ink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Getamazednow-AI-Icon-Monochrome-Ink.png"/>
                  <pic:cNvPicPr/>
                </pic:nvPicPr>
                <pic:blipFill>
                  <a:blip r:embed="rIdGaiMono"/>
                  <a:stretch>
                    <a:fillRect/>
                  </a:stretch>
                </pic:blipFill>
                <pic:spPr>
                  <a:xfrm>
                    <a:off x="0" y="0"/>
                    <a:ext cx="242276" cy="1651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Poppins" w:hAnsi="Poppins" w:cs="Poppins" w:eastAsia="Poppins"/>
        <w:b/>
        <w:bCs/>
        <w:color w:val="2A363B"/>
        <w:sz w:val="18"/>
        <w:szCs w:val="18"/>
      </w:rPr>
      <w:t xml:space="preserve">  Getamazednow AI</w:t>
    </w:r>
    <w:r>
      <w:rPr>
        <w:rFonts w:ascii="Inter" w:hAnsi="Inter" w:cs="Inter" w:eastAsia="Inter"/>
        <w:color w:val="6B797E"/>
        <w:sz w:val="16"/>
        <w:szCs w:val="16"/>
      </w:rPr>
      <w:tab/>
      <w:t xml:space="preserve">Hold-your-own-key: surgical or broad?  ·  ADSRA v0.3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DA6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DA6"/>
      <w:sz w:val="26"/>
      <w:szCs w:val="26"/>
    </w:rPr>
  </w:style>
  <w:style w:type="paragraph" w:styleId="Heading3">
    <w:name w:val="Heading 3"/>
    <w:basedOn w:val="Normal"/>
    <w:next w:val="Normal"/>
    <w:qFormat/>
    <w:rPr>
      <w:color w:val="2E7DA6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DA6"/>
    </w:rPr>
  </w:style>
  <w:style w:type="paragraph" w:styleId="Heading5">
    <w:name w:val="Heading 5"/>
    <w:basedOn w:val="Normal"/>
    <w:next w:val="Normal"/>
    <w:qFormat/>
    <w:rPr>
      <w:color w:val="2E7DA6"/>
    </w:rPr>
  </w:style>
  <w:style w:type="paragraph" w:styleId="Heading6">
    <w:name w:val="Heading 6"/>
    <w:basedOn w:val="Normal"/>
    <w:next w:val="Normal"/>
    <w:qFormat/>
    <w:rPr>
      <w:color w:val="2E7DA6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2E7DA6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Relationship Id="rIdGaiHdr" Type="http://schemas.openxmlformats.org/officeDocument/2006/relationships/header" Target="header1.xml"/><Relationship Id="rIdGaiFtr1" Type="http://schemas.openxmlformats.org/officeDocument/2006/relationships/footer" Target="footer2.xml"/><Relationship Id="rIdGaiLogo" Type="http://schemas.openxmlformats.org/officeDocument/2006/relationships/image" Target="media/gai-logo-full-color.png"/><Relationship Id="rIdGaiGov" Type="http://schemas.openxmlformats.org/officeDocument/2006/relationships/image" Target="media/gai-module-govern.png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 standalone="yes"?><Relationships xmlns="http://schemas.openxmlformats.org/package/2006/relationships"><Relationship Id="rIdGaiMono" Type="http://schemas.openxmlformats.org/officeDocument/2006/relationships/image" Target="media/gai-icon-mono-ink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ADSRA</dc:creator>
  <cp:lastModifiedBy>Un-named</cp:lastModifiedBy>
  <cp:revision>1</cp:revision>
  <dcterms:created xsi:type="dcterms:W3CDTF">2026-07-27T02:00:08.930Z</dcterms:created>
  <dcterms:modified xsi:type="dcterms:W3CDTF">2026-07-27T02:00:08.930Z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