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noProof/>
        </w:rPr>
        <w:drawing>
          <wp:inline distT="0" distB="0" distL="0" distR="0">
            <wp:extent cx="1371600" cy="1246909"/>
            <wp:effectExtent l="0" t="0" r="0" b="0"/>
            <wp:docPr id="9001" name="Getamazednow-AI-Logo-Full-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Logo-Full-Color.png"/>
                    <pic:cNvPicPr/>
                  </pic:nvPicPr>
                  <pic:blipFill>
                    <a:blip r:embed="rIdGai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4B54C4"/>
          <w:spacing w:val="40"/>
          <w:sz w:val="18"/>
          <w:szCs w:val="18"/>
        </w:rPr>
        <w:t xml:space="preserve">ADSRA · OPEN QUESTION OQ-3</w:t>
      </w:r>
    </w:p>
    <w:p>
      <w:pPr>
        <w:pBdr>
          <w:bottom w:val="single" w:color="4B54C4" w:sz="18" w:space="8"/>
        </w:pBdr>
        <w:spacing w:after="120"/>
      </w:pPr>
      <w:r>
        <w:rPr>
          <w:noProof/>
        </w:rPr>
        <w:drawing>
          <wp:inline distT="0" distB="0" distL="0" distR="0">
            <wp:extent cx="320040" cy="320040"/>
            <wp:effectExtent l="0" t="0" r="0" b="0"/>
            <wp:docPr id="9002" name="Getamazednow-AI-Module-Gov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Module-Govern.png"/>
                    <pic:cNvPicPr/>
                  </pic:nvPicPr>
                  <pic:blipFill>
                    <a:blip r:embed="rIdGaiGov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color w:val="2A363B"/>
          <w:sz w:val="40"/>
          <w:szCs w:val="40"/>
        </w:rPr>
        <w:t xml:space="preserve">  </w:t>
      </w: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Autonomous sovereignty: who audits the auditor?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At the highest maturity level, AI agents assess and remediate the organisation’s own sovereignty posture. What evidence would convince a regulator that this agentic remediation is itself well-governed?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This is the model’s most novel contribution and its biggest exposure: the assurance system is itself an AI system, so it needs the same governance as any other AI workload — registered models, scoped tool permissions, budget limits, evidence trails. Without a regulator-credible evidence answer, autonomous assurance stays a slide, not a control. APRA's April 2026 AI letter points the same way: it expects second-line functions able to assess autonomous workflows, and monitoring proportionate to criticality.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Treat it as aspirational by design — pilots, not production, are the realistic target inside a 24-month planning window. Agentic assurance must be governed as an AI workload, and depends on strong observability as its telemetry substrate.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A concrete evidence package a regulator would accept for autonomous remediation: audit-trail schema, human-oversight thresholds proportionate to blast radius, fail-safe behaviours, and model / tool governance.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Risk &amp; regulatory practitioners · Banking</w:t>
      </w:r>
    </w:p>
    <w:sectPr>
      <w:headerReference w:type="default" r:id="rIdGaiHdr"/>
      <w:footerReference w:type="first" r:id="rIdGaiFtr1"/>
      <w:footerReference w:type="default" r:id="rId7"/>
      <w:pgSz w:w="12240" w:h="15840" w:orient="portrait"/>
      <w:pgMar w:top="1080" w:right="1440" w:bottom="10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4" w:color="4B54C4"/>
      </w:pBdr>
      <w:tabs>
        <w:tab w:val="right" w:pos="9360"/>
      </w:tabs>
    </w:pPr>
    <w:r>
      <w:rPr>
        <w:noProof/>
      </w:rPr>
      <w:drawing>
        <wp:inline distT="0" distB="0" distL="0" distR="0">
          <wp:extent cx="242276" cy="165100"/>
          <wp:effectExtent l="0" t="0" r="0" b="0"/>
          <wp:docPr id="9003" name="Getamazednow-AI-Icon-Monochrome-I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tamazednow-AI-Icon-Monochrome-Ink.png"/>
                  <pic:cNvPicPr/>
                </pic:nvPicPr>
                <pic:blipFill>
                  <a:blip r:embed="rIdGaiMono"/>
                  <a:stretch>
                    <a:fillRect/>
                  </a:stretch>
                </pic:blipFill>
                <pic:spPr>
                  <a:xfrm>
                    <a:off x="0" y="0"/>
                    <a:ext cx="242276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bCs/>
        <w:color w:val="2A363B"/>
        <w:sz w:val="18"/>
        <w:szCs w:val="18"/>
      </w:rPr>
      <w:t xml:space="preserve">  Getamazednow AI</w:t>
    </w:r>
    <w:r>
      <w:rPr>
        <w:rFonts w:ascii="Inter" w:hAnsi="Inter" w:cs="Inter" w:eastAsia="Inter"/>
        <w:color w:val="6B797E"/>
        <w:sz w:val="16"/>
        <w:szCs w:val="16"/>
      </w:rPr>
      <w:tab/>
      <w:t xml:space="preserve">Autonomous sovereignty: who audits the auditor?  ·  ADSRA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DA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DA6"/>
      <w:sz w:val="26"/>
      <w:szCs w:val="26"/>
    </w:rPr>
  </w:style>
  <w:style w:type="paragraph" w:styleId="Heading3">
    <w:name w:val="Heading 3"/>
    <w:basedOn w:val="Normal"/>
    <w:next w:val="Normal"/>
    <w:qFormat/>
    <w:rPr>
      <w:color w:val="2E7D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DA6"/>
    </w:rPr>
  </w:style>
  <w:style w:type="paragraph" w:styleId="Heading5">
    <w:name w:val="Heading 5"/>
    <w:basedOn w:val="Normal"/>
    <w:next w:val="Normal"/>
    <w:qFormat/>
    <w:rPr>
      <w:color w:val="2E7DA6"/>
    </w:rPr>
  </w:style>
  <w:style w:type="paragraph" w:styleId="Heading6">
    <w:name w:val="Heading 6"/>
    <w:basedOn w:val="Normal"/>
    <w:next w:val="Normal"/>
    <w:qFormat/>
    <w:rPr>
      <w:color w:val="2E7DA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7DA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GaiHdr" Type="http://schemas.openxmlformats.org/officeDocument/2006/relationships/header" Target="header1.xml"/><Relationship Id="rIdGaiFtr1" Type="http://schemas.openxmlformats.org/officeDocument/2006/relationships/footer" Target="footer2.xml"/><Relationship Id="rIdGaiLogo" Type="http://schemas.openxmlformats.org/officeDocument/2006/relationships/image" Target="media/gai-logo-full-color.png"/><Relationship Id="rIdGaiGov" Type="http://schemas.openxmlformats.org/officeDocument/2006/relationships/image" Target="media/gai-module-gover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GaiMono" Type="http://schemas.openxmlformats.org/officeDocument/2006/relationships/image" Target="media/gai-icon-mono-in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ADSRA</dc:creator>
  <cp:lastModifiedBy>Un-named</cp:lastModifiedBy>
  <cp:revision>1</cp:revision>
  <dcterms:created xsi:type="dcterms:W3CDTF">2026-07-27T02:00:08.934Z</dcterms:created>
  <dcterms:modified xsi:type="dcterms:W3CDTF">2026-07-27T02:00:08.934Z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