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noProof/>
        </w:rPr>
        <w:drawing>
          <wp:inline distT="0" distB="0" distL="0" distR="0">
            <wp:extent cx="1371600" cy="1246909"/>
            <wp:effectExtent l="0" t="0" r="0" b="0"/>
            <wp:docPr id="9001" name="Getamazednow-AI-Logo-Full-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Logo-Full-Color.png"/>
                    <pic:cNvPicPr/>
                  </pic:nvPicPr>
                  <pic:blipFill>
                    <a:blip r:embed="rIdGaiLogo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Poppins" w:cs="Poppins" w:eastAsia="Poppins" w:hAnsi="Poppins"/>
          <w:b/>
          <w:bCs/>
          <w:color w:val="4B54C4"/>
          <w:spacing w:val="40"/>
          <w:sz w:val="18"/>
          <w:szCs w:val="18"/>
        </w:rPr>
        <w:t xml:space="preserve">ADSRA · OPEN QUESTION OQ-4</w:t>
      </w:r>
    </w:p>
    <w:p>
      <w:pPr>
        <w:pBdr>
          <w:bottom w:val="single" w:color="4B54C4" w:sz="18" w:space="8"/>
        </w:pBdr>
        <w:spacing w:after="120"/>
      </w:pPr>
      <w:r>
        <w:rPr>
          <w:noProof/>
        </w:rPr>
        <w:drawing>
          <wp:inline distT="0" distB="0" distL="0" distR="0">
            <wp:extent cx="320040" cy="320040"/>
            <wp:effectExtent l="0" t="0" r="0" b="0"/>
            <wp:docPr id="9002" name="Getamazednow-AI-Module-Gove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amazednow-AI-Module-Govern.png"/>
                    <pic:cNvPicPr/>
                  </pic:nvPicPr>
                  <pic:blipFill>
                    <a:blip r:embed="rIdGaiGov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 w:eastAsia="Poppins"/>
          <w:color w:val="2A363B"/>
          <w:sz w:val="40"/>
          <w:szCs w:val="40"/>
        </w:rPr>
        <w:t xml:space="preserve">  </w:t>
      </w:r>
      <w:r>
        <w:rPr>
          <w:rFonts w:ascii="Poppins" w:cs="Poppins" w:eastAsia="Poppins" w:hAnsi="Poppins"/>
          <w:b/>
          <w:bCs/>
          <w:color w:val="2A363B"/>
          <w:sz w:val="40"/>
          <w:szCs w:val="40"/>
        </w:rPr>
        <w:t xml:space="preserve">Utilities and education: are the drafted blueprints right?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The question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Utilities and education blueprints were deferred from the first release and are now drafted in full. Are they right — and who can correct and extend them?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Why it matters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Both are priority verticals. Utilities (energy, gas, water) now sit under the enhanced critical-infrastructure risk-management rules (from 10 June 2026); education carries distinct student-data, children's-privacy and research-data profiles. A blueprint written without sector practitioners is the likeliest to be wrong.</w:t>
      </w:r>
    </w:p>
    <w:p>
      <w:pPr>
        <w:spacing w:after="60" w:before="220"/>
      </w:pPr>
      <w:r>
        <w:rPr>
          <w:rFonts w:ascii="Poppins" w:cs="Poppins" w:eastAsia="Poppins" w:hAnsi="Poppins"/>
          <w:b/>
          <w:bCs/>
          <w:color w:val="2A363B"/>
          <w:sz w:val="24"/>
          <w:szCs w:val="24"/>
        </w:rPr>
        <w:t xml:space="preserve">Our current position  </w:t>
      </w:r>
      <w:r>
        <w:rPr>
          <w:rFonts w:ascii="Inter" w:cs="Inter" w:eastAsia="Inter" w:hAnsi="Inter"/>
          <w:i/>
          <w:iCs/>
          <w:color w:val="2E7DA6"/>
          <w:sz w:val="18"/>
          <w:szCs w:val="18"/>
        </w:rPr>
        <w:t xml:space="preserve">[a considered view, open to challenge]</w:t>
      </w:r>
    </w:p>
    <w:p>
      <w:pPr>
        <w:spacing w:after="100" w:line="276"/>
      </w:pPr>
      <w:r>
        <w:rPr>
          <w:rFonts w:ascii="Inter" w:cs="Inter" w:eastAsia="Inter" w:hAnsi="Inter"/>
          <w:color w:val="2A363B"/>
          <w:sz w:val="22"/>
          <w:szCs w:val="22"/>
        </w:rPr>
        <w:t xml:space="preserve">Drafted, not settled. The blueprints are our considered view — marked as such in the Technical Reference — and we are explicitly inviting practitioners who live these sectors to correct them.</w:t>
      </w:r>
    </w:p>
    <w:p>
      <w:pPr>
        <w:spacing w:after="60" w:before="120"/>
      </w:pPr>
    </w:p>
    <w:tbl>
      <w:tblPr>
        <w:tblW w:type="dxa" w:w="9360"/>
        <w:tblBorders>
          <w:top w:val="single" w:color="2E7DA6" w:sz="2"/>
          <w:left w:val="single" w:color="2E7DA6" w:sz="18"/>
          <w:bottom w:val="single" w:color="2E7DA6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7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2A363B"/>
                <w:sz w:val="22"/>
                <w:szCs w:val="22"/>
              </w:rPr>
              <w:t xml:space="preserve">What we’re seeking from you</w:t>
            </w:r>
          </w:p>
          <w:p>
            <w:r>
              <w:rPr>
                <w:rFonts w:ascii="Inter" w:cs="Inter" w:eastAsia="Inter" w:hAnsi="Inter"/>
                <w:color w:val="2A363B"/>
                <w:sz w:val="22"/>
                <w:szCs w:val="22"/>
              </w:rPr>
              <w:t xml:space="preserve">Corrections, or a co-author, for each blueprint — anchor obligations, Critical-tier assets, signature patterns and the worked example: named workloads, real obligations, and what we have got wrong.</w:t>
            </w:r>
          </w:p>
        </w:tc>
      </w:tr>
    </w:tbl>
    <w:p>
      <w:pPr>
        <w:spacing w:after="60" w:before="160"/>
      </w:pPr>
      <w:r>
        <w:rPr>
          <w:rFonts w:ascii="Inter" w:cs="Inter" w:eastAsia="Inter" w:hAnsi="Inter"/>
          <w:b/>
          <w:bCs/>
          <w:color w:val="2A363B"/>
          <w:sz w:val="20"/>
          <w:szCs w:val="20"/>
        </w:rPr>
        <w:t xml:space="preserve">Where this is most relevant:  </w:t>
      </w:r>
      <w:r>
        <w:rPr>
          <w:rFonts w:ascii="Inter" w:cs="Inter" w:eastAsia="Inter" w:hAnsi="Inter"/>
          <w:color w:val="2A363B"/>
          <w:sz w:val="20"/>
          <w:szCs w:val="20"/>
        </w:rPr>
        <w:t xml:space="preserve">Utilities (energy) · Education</w:t>
      </w:r>
    </w:p>
    <w:sectPr>
      <w:headerReference w:type="default" r:id="rIdGaiHdr"/>
      <w:footerReference w:type="first" r:id="rIdGaiFtr1"/>
      <w:footerReference w:type="default" r:id="rId7"/>
      <w:pgSz w:w="12240" w:h="15840" w:orient="portrait"/>
      <w:pgMar w:top="1080" w:right="1440" w:bottom="10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B" w:sz="6" w:space="6"/>
      </w:pBdr>
      <w:jc w:val="center"/>
    </w:pPr>
    <w:r>
      <w:rPr>
        <w:rFonts w:ascii="Inter" w:cs="Inter" w:eastAsia="Inter" w:hAnsi="Inter"/>
        <w:color w:val="6B797E"/>
        <w:sz w:val="15"/>
        <w:szCs w:val="15"/>
      </w:rPr>
      <w:t xml:space="preserve">ADSRA — Australian Digital Sovereignty Reference Architecture  ·  Consultation brief (v0.3)  ·  Positions marked as views are open to challenge</w:t>
    </w:r>
  </w:p>
  <w:p>
    <w:pPr>
      <w:tabs>
        <w:tab w:val="center" w:pos="4680"/>
        <w:tab w:val="right" w:pos="9360"/>
      </w:tabs>
      <w:spacing w:before="60"/>
    </w:pPr>
    <w:r>
      <w:rPr>
        <w:rFonts w:ascii="Poppins" w:hAnsi="Poppins" w:cs="Poppins" w:eastAsia="Poppins"/>
        <w:color w:val="A8A17B"/>
        <w:sz w:val="16"/>
        <w:szCs w:val="16"/>
      </w:rPr>
      <w:t>A Getamazednow Company</w:t>
    </w:r>
    <w:r>
      <w:rPr>
        <w:rFonts w:ascii="Inter" w:hAnsi="Inter" w:cs="Inter" w:eastAsia="Inter"/>
        <w:color w:val="6B797E"/>
        <w:sz w:val="16"/>
        <w:szCs w:val="16"/>
      </w:rPr>
      <w:tab/>
      <w:t>see it · prove it · stand behind it</w:t>
    </w:r>
    <w:r>
      <w:rPr>
        <w:rFonts w:ascii="Inter" w:hAnsi="Inter" w:cs="Inter" w:eastAsia="Inter"/>
        <w:color w:val="6B797E"/>
        <w:sz w:val="16"/>
        <w:szCs w:val="16"/>
      </w:rPr>
      <w:tab/>
    </w:r>
    <w:r>
      <w:rPr>
        <w:rFonts w:ascii="Inter" w:hAnsi="Inter" w:cs="Inter" w:eastAsia="Inter"/>
        <w:color w:val="6B797E"/>
        <w:sz w:val="16"/>
        <w:szCs w:val="16"/>
      </w:rPr>
      <w:fldChar w:fldCharType="begin"/>
    </w:r>
    <w:r>
      <w:rPr>
        <w:rFonts w:ascii="Inter" w:hAnsi="Inter" w:cs="Inter" w:eastAsia="Inter"/>
        <w:color w:val="6B797E"/>
        <w:sz w:val="16"/>
        <w:szCs w:val="16"/>
      </w:rPr>
      <w:instrText xml:space="preserve"> PAGE </w:instrText>
    </w:r>
    <w:r>
      <w:rPr>
        <w:rFonts w:ascii="Inter" w:hAnsi="Inter" w:cs="Inter" w:eastAsia="Inter"/>
        <w:color w:val="6B797E"/>
        <w:sz w:val="16"/>
        <w:szCs w:val="16"/>
      </w:rPr>
      <w:fldChar w:fldCharType="separate"/>
    </w:r>
    <w:r>
      <w:rPr>
        <w:rFonts w:ascii="Inter" w:hAnsi="Inter" w:cs="Inter" w:eastAsia="Inter"/>
        <w:color w:val="6B797E"/>
        <w:sz w:val="16"/>
        <w:szCs w:val="16"/>
      </w:rPr>
      <w:t>1</w:t>
    </w:r>
    <w:r>
      <w:rPr>
        <w:rFonts w:ascii="Inter" w:hAnsi="Inter" w:cs="Inter" w:eastAsia="Inter"/>
        <w:color w:val="6B79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Bdr>
        <w:bottom w:val="single" w:sz="6" w:space="4" w:color="4B54C4"/>
      </w:pBdr>
      <w:tabs>
        <w:tab w:val="right" w:pos="9360"/>
      </w:tabs>
    </w:pPr>
    <w:r>
      <w:rPr>
        <w:noProof/>
      </w:rPr>
      <w:drawing>
        <wp:inline distT="0" distB="0" distL="0" distR="0">
          <wp:extent cx="242276" cy="165100"/>
          <wp:effectExtent l="0" t="0" r="0" b="0"/>
          <wp:docPr id="9003" name="Getamazednow-AI-Icon-Monochrome-In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tamazednow-AI-Icon-Monochrome-Ink.png"/>
                  <pic:cNvPicPr/>
                </pic:nvPicPr>
                <pic:blipFill>
                  <a:blip r:embed="rIdGaiMono"/>
                  <a:stretch>
                    <a:fillRect/>
                  </a:stretch>
                </pic:blipFill>
                <pic:spPr>
                  <a:xfrm>
                    <a:off x="0" y="0"/>
                    <a:ext cx="242276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Poppins" w:hAnsi="Poppins" w:cs="Poppins" w:eastAsia="Poppins"/>
        <w:b/>
        <w:bCs/>
        <w:color w:val="2A363B"/>
        <w:sz w:val="18"/>
        <w:szCs w:val="18"/>
      </w:rPr>
      <w:t xml:space="preserve">  Getamazednow AI</w:t>
    </w:r>
    <w:r>
      <w:rPr>
        <w:rFonts w:ascii="Inter" w:hAnsi="Inter" w:cs="Inter" w:eastAsia="Inter"/>
        <w:color w:val="6B797E"/>
        <w:sz w:val="16"/>
        <w:szCs w:val="16"/>
      </w:rPr>
      <w:tab/>
      <w:t xml:space="preserve">Utilities and education: are the drafted blueprints right?  ·  ADSRA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DA6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DA6"/>
      <w:sz w:val="26"/>
      <w:szCs w:val="26"/>
    </w:rPr>
  </w:style>
  <w:style w:type="paragraph" w:styleId="Heading3">
    <w:name w:val="Heading 3"/>
    <w:basedOn w:val="Normal"/>
    <w:next w:val="Normal"/>
    <w:qFormat/>
    <w:rPr>
      <w:color w:val="2E7DA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DA6"/>
    </w:rPr>
  </w:style>
  <w:style w:type="paragraph" w:styleId="Heading5">
    <w:name w:val="Heading 5"/>
    <w:basedOn w:val="Normal"/>
    <w:next w:val="Normal"/>
    <w:qFormat/>
    <w:rPr>
      <w:color w:val="2E7DA6"/>
    </w:rPr>
  </w:style>
  <w:style w:type="paragraph" w:styleId="Heading6">
    <w:name w:val="Heading 6"/>
    <w:basedOn w:val="Normal"/>
    <w:next w:val="Normal"/>
    <w:qFormat/>
    <w:rPr>
      <w:color w:val="2E7DA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E7DA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GaiHdr" Type="http://schemas.openxmlformats.org/officeDocument/2006/relationships/header" Target="header1.xml"/><Relationship Id="rIdGaiFtr1" Type="http://schemas.openxmlformats.org/officeDocument/2006/relationships/footer" Target="footer2.xml"/><Relationship Id="rIdGaiLogo" Type="http://schemas.openxmlformats.org/officeDocument/2006/relationships/image" Target="media/gai-logo-full-color.png"/><Relationship Id="rIdGaiGov" Type="http://schemas.openxmlformats.org/officeDocument/2006/relationships/image" Target="media/gai-module-gover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<Relationships xmlns="http://schemas.openxmlformats.org/package/2006/relationships"><Relationship Id="rIdGaiMono" Type="http://schemas.openxmlformats.org/officeDocument/2006/relationships/image" Target="media/gai-icon-mono-in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ADSRA</dc:creator>
  <cp:lastModifiedBy>Un-named</cp:lastModifiedBy>
  <cp:revision>1</cp:revision>
  <dcterms:created xsi:type="dcterms:W3CDTF">2026-07-27T02:00:08.939Z</dcterms:created>
  <dcterms:modified xsi:type="dcterms:W3CDTF">2026-07-27T02:00:08.939Z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