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4B54C4"/>
          <w:spacing w:val="40"/>
          <w:sz w:val="18"/>
          <w:szCs w:val="18"/>
        </w:rPr>
        <w:t xml:space="preserve">ADSRA · OPEN QUESTION OQ-5</w:t>
      </w:r>
    </w:p>
    <w:p>
      <w:pPr>
        <w:pBdr>
          <w:bottom w:val="single" w:color="4B54C4" w:sz="18" w:space="8"/>
        </w:pBdr>
        <w:spacing w:after="12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Cloud-service mappings: what needs correcting?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indicative AWS / Azure / GCP mappings evolve quarterly. Which need correction against current Australian-region service capability before publication?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The mappings are labelled indicative, not endorsements — but stale mappings erode credibility with an engineering audience fastest. This is the lowest-controversy, highest-hygiene item: verification work, not a debate.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Mappings are examples current at the time of writing. Validate service capabilities and regions before any design commitment — they are not endorsements. In-region AI-model availability is acknowledged to lag the global frontier; keep that caveat visible.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Practitioner corrections naming the service, the Australian region, and the current capability (for example: customer-managed-key / HSM support, in-region model availability, policy-as-code primitives) versus what the draft states.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Cross-industry · Cloud / platform engineering</w:t>
      </w:r>
    </w:p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Cloud-service mappings: what needs correcting?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2026-07-27T02:00:08.943Z</dcterms:created>
  <dcterms:modified xsi:type="dcterms:W3CDTF">2026-07-27T02:00:08.943Z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