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drawing>
          <wp:inline distT="0" distB="0" distL="0" distR="0">
            <wp:extent cx="2476500" cy="2247900"/>
            <wp:effectExtent t="0" r="0" b="0" l="0"/>
            <wp:docPr id="1" name="logo" descr="Tensor node lattice mark in a circular Ink badge" title="Getamazednow AI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  <w:jc w:val="center"/>
      </w:pPr>
      <w:r>
        <w:rPr>
          <w:rFonts w:ascii="Poppins" w:cs="Poppins" w:eastAsia="Poppins" w:hAnsi="Poppins"/>
          <w:b/>
          <w:bCs/>
          <w:color w:val="2A363B"/>
          <w:sz w:val="44"/>
          <w:szCs w:val="44"/>
        </w:rPr>
        <w:t xml:space="preserve">GETAMAZEDNOW AI</w:t>
      </w:r>
    </w:p>
    <w:p>
      <w:pPr>
        <w:spacing w:after="40"/>
        <w:jc w:val="center"/>
      </w:pPr>
      <w:r>
        <w:rPr>
          <w:rFonts w:ascii="Poppins" w:cs="Poppins" w:eastAsia="Poppins" w:hAnsi="Poppins"/>
          <w:color w:val="2E7DA6"/>
          <w:sz w:val="26"/>
          <w:szCs w:val="26"/>
        </w:rPr>
        <w:t xml:space="preserve">Brand &amp; Design System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Version 1.0  |  July 2026</w:t>
      </w:r>
    </w:p>
    <w:p>
      <w:pPr>
        <w:spacing w:after="40"/>
        <w:jc w:val="center"/>
      </w:pPr>
      <w:r>
        <w:rPr>
          <w:color w:val="666666"/>
          <w:sz w:val="20"/>
          <w:szCs w:val="20"/>
        </w:rPr>
        <w:t xml:space="preserve">getamazednow.ai</w:t>
      </w:r>
    </w:p>
    <w:p>
      <w:pPr>
        <w:spacing w:after="40"/>
        <w:jc w:val="center"/>
      </w:pPr>
      <w:r>
        <w:rPr>
          <w:i/>
          <w:iCs/>
          <w:color w:val="A8A17B"/>
          <w:sz w:val="18"/>
          <w:szCs w:val="18"/>
        </w:rPr>
        <w:t xml:space="preserve">A Getamazednow Company</w:t>
      </w:r>
    </w:p>
    <w:p>
      <w:pPr>
        <w:spacing w:before="200"/>
        <w:jc w:val="center"/>
      </w:pPr>
      <w:r>
        <w:rPr>
          <w:i/>
          <w:iCs/>
          <w:color w:val="2E7DA6"/>
          <w:sz w:val="24"/>
          <w:szCs w:val="24"/>
        </w:rPr>
        <w:t xml:space="preserve">“Practical AI. Possible Futures.”</w:t>
      </w:r>
    </w:p>
    <w:p>
      <w:r>
        <w:br w:type="page"/>
      </w:r>
    </w:p>
    <w:p>
      <w:pPr>
        <w:pStyle w:val="Heading1"/>
      </w:pPr>
      <w:r>
        <w:t xml:space="preserve">1. Brand Foundation</w:t>
      </w:r>
    </w:p>
    <w:p>
      <w:pPr>
        <w:pStyle w:val="Heading2"/>
      </w:pPr>
      <w:r>
        <w:t xml:space="preserve">1.1 Brand Premise</w:t>
      </w:r>
    </w:p>
    <w:p>
      <w:pPr>
        <w:spacing w:after="160"/>
      </w:pPr>
      <w:r>
        <w:t xml:space="preserve">Getamazednow AI is the technology and AI-advisory arm of Getamazednow, the parent company also home to the Getamazednow Photography brand. Where the parent brand's nature-inspired identity (“Be Naturesque,” the leaping tiger) speaks to precision and instinct, Getamazednow AI speaks to a different but related idea: the discipline of turning AI's technical possibility into governed, measurable business value.</w:t>
      </w:r>
    </w:p>
    <w:p>
      <w:pPr>
        <w:spacing w:after="160"/>
      </w:pPr>
      <w:r>
        <w:t xml:space="preserve">The mark is a tensor node lattice — an isometric 3D cube built entirely from interconnected dot nodes rather than solid faces, with a brighter core hub wired to every corner. It reads simultaneously as a tensor (the core data structure of machine learning) and a network (nodes and connections), which is exactly the dual audience this brand speaks to: technical practitioners and the executives who fund them.</w:t>
      </w:r>
    </w:p>
    <w:p>
      <w:pPr>
        <w:pStyle w:val="Heading2"/>
      </w:pPr>
      <w:r>
        <w:t xml:space="preserve">1.2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</w:rPr>
              <w:t xml:space="preserve">Working positioning</w:t>
            </w:r>
          </w:p>
          <w:p>
            <w:r>
              <w:t xml:space="preserve">For enterprises across financial services, banking, retail, education, healthcare and utilities, Getamazednow AI is the advisory practice that separates practical, deployable AI from the hype cycle — pairing 30+ years of enterprise architecture rigor with a clear-eyed, evidence-based view of where AI actually creates measurable value.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1.3 Brand Pillars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Practicality — every recommendation is deployable, governed, and tied to a business case; no science projects.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Possibility — the core hub node signals genuine upside is real when AI is applied to the right problem.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Rigor — the tensor/network structure of the mark reflects a data-driven, structured way of thinking, inherited from the parent brand's precision ethos.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Trust through lineage — “A Getamazednow Company” signals an established parent, not a fly-by-night AI shop.</w:t>
      </w:r>
    </w:p>
    <w:p>
      <w:pPr>
        <w:pStyle w:val="Heading2"/>
      </w:pPr>
      <w:r>
        <w:t xml:space="preserve">1.4 Voice &amp; Tone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 are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Direct, data-driven, evidence-led, pragmatic, forward-looking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 are not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Hyped, jargon-heavy, vague, salesy, breathless about AI for its own sake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Talks &amp; thought leadership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Confident and opinionated on where AI does and doesn't apply; always backed by a source, model, or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Written documents (board/exec)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Formal, structured, decision-oriented — lead with the recommendation, then the evidence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Digital/app copy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Short, active-voice sentences; the tagline's rhythm (short. short.) is the house style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1.5 Relationship to the Parent Brand</w:t>
      </w:r>
    </w:p>
    <w:p>
      <w:pPr>
        <w:spacing w:after="160"/>
      </w:pPr>
      <w:r>
        <w:t xml:space="preserve">Getamazednow AI deliberately shares three elements with Getamazednow Photography to signal common ownership, and deliberately differs on everything else to avoid market confusion between two very different offerings: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Shared with Photography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Unique to AI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Ink (dark surface), Stone (secondary/byline)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Blue family (accent, replaces Gold/Bronze)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Typography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Poppins + Inter + JetBrains Mono pairing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proprietary logotype font needed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Circular badge lockup grammar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Tensor node lattice (vs. leaping tiger)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Naming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“Getamazednow” root 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“AI” suffix + “A Getamazednow Company” byline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</w:pPr>
      <w:r>
        <w:t xml:space="preserve">2. Logo System</w:t>
      </w:r>
    </w:p>
    <w:p>
      <w:pPr>
        <w:pStyle w:val="Heading2"/>
      </w:pPr>
      <w:r>
        <w:t xml:space="preserve">2.1 Primary Mark</w:t>
      </w:r>
    </w:p>
    <w:p>
      <w:pPr>
        <w:spacing w:after="160"/>
      </w:pPr>
      <w:r>
        <w:t xml:space="preserve">The primary lockup is a circular Ink badge containing the Tensor Node Lattice: 8 dot nodes (7 forming the vertices of an isometric cube, plus 1 brighter core hub) connected by 15 edges (9 cube edges + 6 core spokes). Node size and brightness graduate by depth — the farthest node is smallest and dimmest, the core hub is largest and brightest — so the mark reads as three-dimensional without any solid shading or gradients.</w:t>
      </w:r>
    </w:p>
    <w:p>
      <w:pPr>
        <w:spacing w:after="120" w:before="120"/>
        <w:jc w:val="center"/>
      </w:pPr>
      <w:r>
        <w:drawing>
          <wp:inline distT="0" distB="0" distL="0" distR="0">
            <wp:extent cx="1905000" cy="1733550"/>
            <wp:effectExtent t="0" r="0" b="0" l="0"/>
            <wp:docPr id="1" name="primary-lockup" descr="Full color lockup on Ink background" title="Primary lock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</w:rPr>
        <w:t xml:space="preserve">Unlike the Photography mark, this logo was built as native vector art rather than sampled from external artwork — there is no hidden-text-on-white gotcha. All four variants below are safe on their intended surfaces with no exceptions.</w:t>
      </w:r>
    </w:p>
    <w:p>
      <w:pPr>
        <w:pStyle w:val="Heading2"/>
      </w:pPr>
      <w:r>
        <w:t xml:space="preserve">2.2 Clear Space &amp; Minimum Size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Clear space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Minimum 1× the diameter of the badge circle on all sides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Min size — digital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24px height (icon-only); 140px width if paired with the full wordmark lockup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Min size — print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15mm width on collateral; below this, use icon-only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Favicon sizes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32×32 (browser), 180×180 (iPhone), 196×196 (Android) — simplified 5-node version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2.3 Approved Variants &amp; When to Use Them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Color, full lockup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</w:rPr>
              <w:t xml:space="preserve">Recommended default — web, documents, slide title/section pages, social avatars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Color, icon-only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App icons, favicons, small digital placements, watermarks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Monochrome white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 dark or photographic backgrounds where the Ink badge fill would lose contrast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6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Monochrome Ink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Single-color print, letterhead watermarks, engraving, greyscale contexts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2.4 Do /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DON'T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Use the supplied SVG files at native aspect ratio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Maintain full clear space around the badge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Preserve the depth graduation (core hub brightest)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Stretch, skew or recolor the lattice outside approved variants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Merge or confuse this mark with the Photography tiger badge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t xml:space="preserve">Add extra nodes/edges or flatten the depth cues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Color System</w:t>
      </w:r>
    </w:p>
    <w:p>
      <w:pPr>
        <w:spacing w:after="160"/>
      </w:pPr>
      <w:r>
        <w:t xml:space="preserve">Contrast ratios are calculated per WCAG 2.1 relative luminance; AA requires ≥ 4.5:1 for normal text and ≥ 3:1 for large text/graphics.</w:t>
      </w:r>
    </w:p>
    <w:p>
      <w:pPr>
        <w:pStyle w:val="Heading2"/>
      </w:pPr>
      <w:r>
        <w:t xml:space="preserve">3.1 Brand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960"/>
        <w:gridCol w:w="1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Hex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Accessibility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Ink (shared)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#2A363B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Primary dark surface, badge fill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White text: 12.4:1 AAA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A8C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#5FA8CC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Primary accent, nodes/edges on Ink, large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 Ink: 4.7:1 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FFFFFF"/>
              </w:rPr>
              <w:t xml:space="preserve">Signal Deep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#2E7DA6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Accessible accent text on light surfaces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 white: 4.6:1 AA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FC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Signal 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#8FC3DE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Core-node highlight, hover glow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Decorative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Stone (shared)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#A8A17B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Secondary accent, byline text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 Ink: 4.76:1 AA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3.2 Shared vs. Brand-Specific</w:t>
      </w:r>
    </w:p>
    <w:p>
      <w:pPr>
        <w:spacing w:after="160"/>
      </w:pPr>
      <w:r>
        <w:t xml:space="preserve">Ink, Stone, the 10-step neutral ramp, and the semantic status colors (success/warning/error/info) are identical to Getamazednow Photography's palette — this is the parent-brand DNA. Only the Signal Blue family is unique to Getamazednow AI, replacing Photography's Gold/Bronze accent. Full values are in design-tokens.json.</w:t>
      </w:r>
    </w:p>
    <w:p>
      <w:r>
        <w:br w:type="page"/>
      </w:r>
    </w:p>
    <w:p>
      <w:pPr>
        <w:pStyle w:val="Heading1"/>
      </w:pPr>
      <w:r>
        <w:t xml:space="preserve">4. Typography</w:t>
      </w:r>
    </w:p>
    <w:p>
      <w:pPr>
        <w:spacing w:after="160"/>
      </w:pPr>
      <w:r>
        <w:t xml:space="preserve">Getamazednow AI uses the identical type system as Getamazednow Photography — shared typographic DNA across both brands: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Font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36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Usage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Display / Heading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Poppins (700/800)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H1–H2, slide titles, wordmark lockup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Body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Inter (400/500)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Body copy, tables, UI labels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 / Mono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JetBrains Mono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Code, tokens, agent/CLI surfaces</w:t>
            </w:r>
          </w:p>
        </w:tc>
      </w:tr>
    </w:tbl>
    <w:p>
      <w:pPr>
        <w:spacing w:before="200"/>
      </w:pPr>
    </w:p>
    <w:p>
      <w:pPr>
        <w:spacing w:after="160"/>
      </w:pPr>
      <w:r>
        <w:t xml:space="preserve">Unlike Photography (which has a logo-only proprietary font that cannot be used for body copy), the AI wordmark is set directly in Poppins ExtraBold — there is no separate logotype font dependency.</w:t>
      </w:r>
    </w:p>
    <w:p>
      <w:r>
        <w:br w:type="page"/>
      </w:r>
    </w:p>
    <w:p>
      <w:pPr>
        <w:pStyle w:val="Heading1"/>
      </w:pPr>
      <w:r>
        <w:t xml:space="preserve">5. Design System Contents</w:t>
      </w:r>
    </w:p>
    <w:p>
      <w:pPr>
        <w:spacing w:after="160"/>
      </w:pPr>
      <w:r>
        <w:t xml:space="preserve">This v1.0 kit contains everything needed to apply the Getamazednow AI brand consistently: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design-tokens.json — source of truth for all colors, type scale, spacing, radius, elevation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tokens.css — CSS custom properties (--gai- prefix) for web/app builds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Logo files — full color, icon-only, monochrome white, monochrome Ink, favicon (SVG + PNG)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Getamazednow_AI_Presentation_Template.pptx — slide template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Getamazednow_AI_Report_Template.docx — Word report/document template</w:t>
      </w:r>
    </w:p>
    <w:p>
      <w:pPr>
        <w:spacing w:after="160"/>
      </w:pPr>
      <w:r>
        <w:rPr>
          <w:i/>
          <w:iCs/>
        </w:rPr>
        <w:t xml:space="preserve">For how to apply this kit inside other Cowork projects, see the “How to Use These Design Systems” guide packaged alongside both brand kits.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Poppins" w:cs="Poppins" w:eastAsia="Poppins" w:hAnsi="Poppins"/>
      <w:b/>
      <w:bCs/>
      <w:color w:val="2A36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Poppins" w:cs="Poppins" w:eastAsia="Poppins" w:hAnsi="Poppins"/>
      <w:b/>
      <w:bCs/>
      <w:color w:val="2A363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9034aa316ae7aa9ebd06954aebfe58ce8abd4b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2026-07-07T04:57:02.139Z</dcterms:created>
  <dcterms:modified xsi:type="dcterms:W3CDTF">2026-07-07T04:57:02.139Z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