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A4D80"/>
          <w:sz w:val="48"/>
          <w:szCs w:val="48"/>
        </w:rPr>
        <w:t xml:space="preserve">Agent Governance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Observable Private Language Protocol</w:t>
      </w:r>
    </w:p>
    <w:p>
      <w:pPr>
        <w:spacing w:after="600"/>
        <w:jc w:val="center"/>
      </w:pPr>
      <w:r>
        <w:rPr>
          <w:sz w:val="22"/>
          <w:szCs w:val="22"/>
        </w:rPr>
        <w:t xml:space="preserve">Version 1.0.0  |  MIT License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A governance framework that allows AI agents to use optimized/private communication protocols only if they continuously produce human-readable English reports. This enables efficiency gains from agent-to-agent compression while maintaining full human oversight.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Agents Want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Humans Need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Framework Provides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Efficient encoding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Interpretability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 English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 coordination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 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Append-only event logging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Private protocols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Kill switch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Gateway enforcement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Core Principle: Novel language is treated as 'optimized encoding'—allowed only when humans can continuously verify what's being communicated.</w:t>
      </w:r>
    </w:p>
    <w:p>
      <w:pPr>
        <w:pStyle w:val="Heading1"/>
      </w:pPr>
      <w:r>
        <w:t xml:space="preserve">Quick Start</w:t>
      </w:r>
    </w:p>
    <w:p>
      <w:pPr>
        <w:pStyle w:val="Heading2"/>
      </w:pPr>
      <w:r>
        <w:t xml:space="preserve">For Python Users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-r python/requirements.txt
python python/observable_agent.py</w:t>
      </w:r>
    </w:p>
    <w:p>
      <w:pPr>
        <w:pStyle w:val="Heading2"/>
      </w:pPr>
      <w:r>
        <w:t xml:space="preserve">For Rust Users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cd rust
cargo build --release
./target/release/policy_gateway</w:t>
      </w:r>
    </w:p>
    <w:p>
      <w:pPr>
        <w:pStyle w:val="Heading1"/>
      </w:pPr>
      <w:r>
        <w:t xml:space="preserve">Policy Rules</w:t>
      </w:r>
    </w:p>
    <w:p>
      <w:pPr>
        <w:pStyle w:val="Heading2"/>
      </w:pPr>
      <w:r>
        <w:t xml:space="preserve">1. Registration Rule</w:t>
      </w:r>
    </w:p>
    <w:p>
      <w:pPr>
        <w:spacing w:after="120"/>
      </w:pPr>
      <w:r>
        <w:rPr>
          <w:sz w:val="22"/>
          <w:szCs w:val="22"/>
        </w:rPr>
        <w:t xml:space="preserve">Before using any novel language, an agent must register a ProtocolDescriptor with name, version, purpose, scope, risk tier, and translation method.</w:t>
      </w:r>
    </w:p>
    <w:p>
      <w:pPr>
        <w:pStyle w:val="Heading2"/>
      </w:pPr>
      <w:r>
        <w:t xml:space="preserve">2. Reporting Cadence Rule</w:t>
      </w:r>
    </w:p>
    <w:p>
      <w:pPr>
        <w:spacing w:after="120"/>
      </w:pPr>
      <w:r>
        <w:rPr>
          <w:sz w:val="22"/>
          <w:szCs w:val="22"/>
        </w:rPr>
        <w:t xml:space="preserve">If an agent sends novel-language messages, it must submit an English report: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Every 60 seconds, 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Every 25 messages (whichever comes first)</w:t>
      </w:r>
    </w:p>
    <w:p>
      <w:pPr>
        <w:pStyle w:val="Heading2"/>
      </w:pPr>
      <w:r>
        <w:t xml:space="preserve">3. Translation Completeness Rule</w:t>
      </w:r>
    </w:p>
    <w:p>
      <w:pPr>
        <w:spacing w:after="120"/>
      </w:pPr>
      <w:r>
        <w:rPr>
          <w:sz w:val="22"/>
          <w:szCs w:val="22"/>
        </w:rPr>
        <w:t xml:space="preserve">Reports must include coverage (≥95%), self-confidence rating, message IDs, and English summary (≥30 characters).</w:t>
      </w:r>
    </w:p>
    <w:p>
      <w:pPr>
        <w:pStyle w:val="Heading2"/>
      </w:pPr>
      <w:r>
        <w:t xml:space="preserve">4. Gating Rule (Enforced)</w:t>
      </w:r>
    </w:p>
    <w:p>
      <w:pPr>
        <w:spacing w:after="120"/>
      </w:pPr>
      <w:r>
        <w:rPr>
          <w:sz w:val="22"/>
          <w:szCs w:val="22"/>
        </w:rPr>
        <w:t xml:space="preserve">The Policy Gateway rejects: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Novel-language messages from unregistered protocols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Messages from agents with overdue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Messages from agents whose last report failed validation</w:t>
      </w:r>
    </w:p>
    <w:p>
      <w:pPr>
        <w:pStyle w:val="Heading2"/>
      </w:pPr>
      <w:r>
        <w:t xml:space="preserve">5. Progressive Enforcement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Violation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Throttle + warning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Quarantine (read-only)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Disable agent credential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REPORT_INTERVAL_SEC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 seconds between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REPORT_EVERY_N_MESSAGES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 messages before 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MIN_COVERAGE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Minimum coverage fraction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RETENTION_DAYS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 log retention</w:t>
            </w:r>
          </w:p>
        </w:tc>
      </w:tr>
    </w:tbl>
    <w:p>
      <w:pPr>
        <w:pStyle w:val="Heading1"/>
      </w:pPr>
      <w:r>
        <w:t xml:space="preserve">Gateway API Endpoints</w:t>
      </w:r>
    </w:p>
    <w:p>
      <w:pPr>
        <w:pStyle w:val="Heading2"/>
      </w:pPr>
      <w:r>
        <w:t xml:space="preserve">POST /register_protocol_for_agent</w:t>
      </w:r>
    </w:p>
    <w:p>
      <w:pPr>
        <w:spacing w:after="120"/>
      </w:pPr>
      <w:r>
        <w:rPr>
          <w:sz w:val="22"/>
          <w:szCs w:val="22"/>
        </w:rPr>
        <w:t xml:space="preserve">Register a protocol for an agent before using novel language.</w:t>
      </w:r>
    </w:p>
    <w:p>
      <w:pPr>
        <w:pStyle w:val="Heading2"/>
      </w:pPr>
      <w:r>
        <w:t xml:space="preserve">POST /report</w:t>
      </w:r>
    </w:p>
    <w:p>
      <w:pPr>
        <w:spacing w:after="120"/>
      </w:pPr>
      <w:r>
        <w:rPr>
          <w:sz w:val="22"/>
          <w:szCs w:val="22"/>
        </w:rPr>
        <w:t xml:space="preserve">Submit an English translation report covering recent novel-language messages.</w:t>
      </w:r>
    </w:p>
    <w:p>
      <w:pPr>
        <w:pStyle w:val="Heading2"/>
      </w:pPr>
      <w:r>
        <w:t xml:space="preserve">POST /send</w:t>
      </w:r>
    </w:p>
    <w:p>
      <w:pPr>
        <w:spacing w:after="120"/>
      </w:pPr>
      <w:r>
        <w:rPr>
          <w:sz w:val="22"/>
          <w:szCs w:val="22"/>
        </w:rPr>
        <w:t xml:space="preserve">Send a message through the gateway. English messages pass freely; novel messages require compliance.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Message accepted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Report validation failed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Protocol not registered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Report overdue</w:t>
            </w:r>
          </w:p>
        </w:tc>
      </w:tr>
    </w:tbl>
    <w:p>
      <w:pPr>
        <w:pStyle w:val="Heading1"/>
      </w:pPr>
      <w:r>
        <w:t xml:space="preserve">Security Considerations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API Authentication: Require API keys for all gateway endpoints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TLS: Always use HTTPS between agents and gateway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Log Encryption: Encrypt raw messages at rest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Access Control: Restrict audit log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Rate Limiting: Prevent DoS attacks</w:t>
      </w:r>
    </w:p>
    <w:p>
      <w:pPr>
        <w:pStyle w:val="Heading1"/>
      </w:pPr>
      <w:r>
        <w:t xml:space="preserve">License</w:t>
      </w:r>
    </w:p>
    <w:p>
      <w:pPr>
        <w:spacing w:after="120"/>
      </w:pPr>
      <w:r>
        <w:rPr>
          <w:sz w:val="22"/>
          <w:szCs w:val="22"/>
        </w:rPr>
        <w:t xml:space="preserve">MIT License. See LICENSE file for details.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A4D80"/>
      </w:rPr>
      <w:t xml:space="preserve">Agent Governance</w:t>
    </w:r>
    <w:r>
      <w:rPr>
        <w:color w:val="666666"/>
      </w:rPr>
      <w:t xml:space="preserve">  |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b/>
      <w:bCs/>
      <w:color w:val="1A4D8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b/>
      <w:bCs/>
      <w:color w:val="1A4D8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2026-02-01T15:05:52.764Z</dcterms:created>
  <dcterms:modified xsi:type="dcterms:W3CDTF">2026-02-01T15:05:52.765Z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