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2024 Churn Analysis</w:t>
      </w:r>
    </w:p>
    <w:p>
      <w:r>
        <w:t>Period: July - September 2024</w:t>
      </w:r>
    </w:p>
    <w:p>
      <w:pPr>
        <w:pStyle w:val="Heading1"/>
      </w:pPr>
      <w:r>
        <w:t>Summary</w:t>
      </w:r>
    </w:p>
    <w:p>
      <w:r>
        <w:t>Q3 2024 churn rate rose to 4.5%, the highest in four quarters. Two contributing factors were identified: a product outage in August affecting 30% of accounts, and a pricing change in July that increased costs for SMB customers by an average of 12%.</w:t>
      </w:r>
    </w:p>
    <w:p>
      <w:pPr>
        <w:pStyle w:val="Heading1"/>
      </w:pPr>
      <w:r>
        <w:t>Key Findings</w:t>
      </w:r>
    </w:p>
    <w:p>
      <w:pPr>
        <w:pStyle w:val="Heading2"/>
      </w:pPr>
      <w:r>
        <w:t>1. August Outage Impact</w:t>
      </w:r>
    </w:p>
    <w:p>
      <w:r>
        <w:t>A 14-hour outage on August 9th affected 3,800 accounts. Accounts impacted by the outage churned at 8.1% in the 60 days following the incident, compared to 3.2% for unaffected accounts. Proactive credits reduced churn by an estimated 1.4 percentage points among that group.</w:t>
      </w:r>
    </w:p>
    <w:p>
      <w:pPr>
        <w:pStyle w:val="Heading2"/>
      </w:pPr>
      <w:r>
        <w:t>2. Pricing Change Effect</w:t>
      </w:r>
    </w:p>
    <w:p>
      <w:r>
        <w:t>The July pricing restructuring disproportionately affected SMB customers on legacy plans. SMB churn spiked to 7.2% in July. Customers grandfathered into old pricing churned at 2.9%, confirming pricing as the primary driver.</w:t>
      </w:r>
    </w:p>
    <w:p>
      <w:pPr>
        <w:pStyle w:val="Heading2"/>
      </w:pPr>
      <w:r>
        <w:t>3. Customer Success Coverage</w:t>
      </w:r>
    </w:p>
    <w:p>
      <w:r>
        <w:t>Accounts with a dedicated CSM churned at 1.8%. Accounts without CSM coverage churned at 5.3%. CSM coverage currently extends to only 22% of the customer base.</w:t>
      </w:r>
    </w:p>
    <w:p>
      <w:pPr>
        <w:pStyle w:val="Heading2"/>
      </w:pPr>
      <w:r>
        <w:t>4. Usage Decline as Leading Indicator</w:t>
      </w:r>
    </w:p>
    <w:p>
      <w:r>
        <w:t>Customers with a 30% or greater drop in weekly active usage over 3 weeks churned at 11.2% in the following 30 days. This pattern was detectable an average of 18 days before cancellation.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Establish incident response protocol with automatic retention credits for outages exceeding 4 hours</w:t>
      </w:r>
    </w:p>
    <w:p>
      <w:pPr>
        <w:pStyle w:val="ListBullet"/>
      </w:pPr>
      <w:r>
        <w:t>Roll back pricing changes for legacy SMB customers with grandfathering options</w:t>
      </w:r>
    </w:p>
    <w:p>
      <w:pPr>
        <w:pStyle w:val="ListBullet"/>
      </w:pPr>
      <w:r>
        <w:t>Expand CSM coverage to high-usage SMB accounts using a scaled or pooled model</w:t>
      </w:r>
    </w:p>
    <w:p>
      <w:pPr>
        <w:pStyle w:val="ListBullet"/>
      </w:pPr>
      <w:r>
        <w:t>Build automated usage-decline alerts to trigger proactive outreach within the 18-day intervention window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