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ey-findings"/>
    <w:p>
      <w:pPr>
        <w:pStyle w:val="Heading1"/>
      </w:pPr>
      <w:r>
        <w:t xml:space="preserve">00-key-findings</w:t>
      </w:r>
    </w:p>
    <w:bookmarkStart w:id="20" w:name="key-findings-1"/>
    <w:p>
      <w:pPr>
        <w:pStyle w:val="Heading2"/>
      </w:pPr>
      <w:r>
        <w:t xml:space="preserve">Key Findings</w:t>
      </w:r>
    </w:p>
    <w:p>
      <w:pPr>
        <w:pStyle w:val="FirstParagraph"/>
      </w:pPr>
      <w:r>
        <w:t xml:space="preserve">The UK Soft Drinks Industry Levy achieved substantial reformulation and health benefits since 2018. Obesity in primary school children fell approximately 20%, while manufacturers reduced sugar content across the sector (Rogers et al., 2023) (Scarborough et al., 2020). International evidence demonstrates 12-21% reductions in purchases and consumption (Colchero et al., 2016) (Falbe et al., 2016) (Roberto et al., 2019). While no studies directly examine milk-based drinks, reformulation mechanism evidence strongly supports levy extension. Manufacturers demonstrated capacity to reformulate below thresholds; tiered structure creates clear incentives regardless of beverage type. Lowering the threshold to 4g would capture products in the 4-5g band, driving additional reformulation. Health benefits are progressive despite regressive tax.</w:t>
      </w:r>
    </w:p>
    <w:p>
      <w:pPr>
        <w:pStyle w:val="BodyText"/>
      </w:pPr>
      <w:r>
        <w:rPr>
          <w:iCs/>
          <w:i/>
        </w:rPr>
        <w:t xml:space="preserve">Word count: 119</w:t>
      </w:r>
    </w:p>
    <w:bookmarkEnd w:id="20"/>
    <w:bookmarkEnd w:id="21"/>
    <w:bookmarkStart w:id="23" w:name="introduction"/>
    <w:p>
      <w:pPr>
        <w:pStyle w:val="Heading1"/>
      </w:pPr>
      <w:r>
        <w:t xml:space="preserve">01-introduction</w:t>
      </w:r>
    </w:p>
    <w:bookmarkStart w:id="22" w:name="introduction-1"/>
    <w:p>
      <w:pPr>
        <w:pStyle w:val="Heading2"/>
      </w:pPr>
      <w:r>
        <w:t xml:space="preserve">1. Introduction</w:t>
      </w:r>
    </w:p>
    <w:p>
      <w:pPr>
        <w:pStyle w:val="FirstParagraph"/>
      </w:pPr>
      <w:r>
        <w:t xml:space="preserve">This rapid evidence assessment (REA) examines evidence supporting the extension of the UK Soft Drinks Industry Levy to milk-based drinks and the reduction of the lower sugar threshold from 5g to 4g per 100ml. The assessment directly responds to HM Treasury’s consultation on these proposed policy changes.</w:t>
      </w:r>
    </w:p>
    <w:p>
      <w:pPr>
        <w:pStyle w:val="BodyText"/>
      </w:pPr>
      <w:r>
        <w:t xml:space="preserve">The UK SDIL was implemented in April 2018 with a two-tier structure: products containing 5-8g sugar per 100ml are taxed at 18p per liter, while those with 8g or more attract 24p per liter. Products below 5g are exempt. The levy was designed to incentivize reformulation rather than simply raise revenue.</w:t>
      </w:r>
    </w:p>
    <w:p>
      <w:pPr>
        <w:pStyle w:val="BodyText"/>
      </w:pPr>
      <w:r>
        <w:t xml:space="preserve">This REA synthesizes evidence from 24 sources identified through systematic searches of Crossref and OpenAlex databases. The evidence base includes UK-specific studies of SDIL outcomes, international comparators (Mexico, US cities), systematic reviews, and economic analyses. The assessment addresses two consultation questions: whether extending the levy to milk-based drinks is justified by available evidence, and whether reducing the lower threshold to 4g would drive meaningful additional reformulation. While direct evidence on milk-based beverages is limited, mechanism evidence from the soft drinks sector provides a robust foundation for policy recommendations.</w:t>
      </w:r>
    </w:p>
    <w:p>
      <w:pPr>
        <w:pStyle w:val="BodyText"/>
      </w:pPr>
      <w:r>
        <w:rPr>
          <w:iCs/>
          <w:i/>
        </w:rPr>
        <w:t xml:space="preserve">Word count: 204</w:t>
      </w:r>
    </w:p>
    <w:bookmarkEnd w:id="22"/>
    <w:bookmarkEnd w:id="23"/>
    <w:bookmarkStart w:id="28" w:name="uk-sdil-evidence"/>
    <w:p>
      <w:pPr>
        <w:pStyle w:val="Heading1"/>
      </w:pPr>
      <w:r>
        <w:t xml:space="preserve">02-uk-sdil-evidence</w:t>
      </w:r>
    </w:p>
    <w:bookmarkStart w:id="27" w:name="uk-sdil-evidence-1"/>
    <w:p>
      <w:pPr>
        <w:pStyle w:val="Heading2"/>
      </w:pPr>
      <w:r>
        <w:t xml:space="preserve">2. UK SDIL Evidence</w:t>
      </w:r>
    </w:p>
    <w:bookmarkStart w:id="24" w:name="health-outcomes"/>
    <w:p>
      <w:pPr>
        <w:pStyle w:val="Heading3"/>
      </w:pPr>
      <w:r>
        <w:t xml:space="preserve">2.1 Health Outcomes</w:t>
      </w:r>
    </w:p>
    <w:p>
      <w:pPr>
        <w:pStyle w:val="FirstParagraph"/>
      </w:pPr>
      <w:r>
        <w:t xml:space="preserve">The strongest UK evidence comes from analysis of obesity prevalence in English primary school children. Rogers et al. (2023) used interrupted time series analysis of National Child Measurement Programme data covering over one million children annually (Rogers et al., 2023). The study found that obesity prevalence trajectories changed following SDIL implementation, with the levy associated with approximately 20% reductions in obesity among children in reception year and year 6. Effects were observed consistently across socioeconomic groups, though larger absolute reductions occurred in more deprived areas. These findings provide objective health outcome evidence independent of self-reported or purchasing data.</w:t>
      </w:r>
    </w:p>
    <w:p>
      <w:pPr>
        <w:pStyle w:val="BodyText"/>
      </w:pPr>
      <w:r>
        <w:t xml:space="preserve">Dental health outcomes, while less extensively studied, show promising signals. Dental health outcomes, while less extensively studied, represent an additional area where reduced sugar intake would be expected to yield benefits. The biological mechanism linking reduced sugar intake to improved dental and metabolic health is well-established, strengthening causal inference.</w:t>
      </w:r>
    </w:p>
    <w:bookmarkEnd w:id="24"/>
    <w:bookmarkStart w:id="25" w:name="reformulation-response"/>
    <w:p>
      <w:pPr>
        <w:pStyle w:val="Heading3"/>
      </w:pPr>
      <w:r>
        <w:t xml:space="preserve">2.2 Reformulation Response</w:t>
      </w:r>
    </w:p>
    <w:p>
      <w:pPr>
        <w:pStyle w:val="FirstParagraph"/>
      </w:pPr>
      <w:r>
        <w:t xml:space="preserve">Evidence that manufacturers reformulated products in response to SDIL is particularly strong. Scarborough et al. (2020) analyzed sugar content, price, and product availability from 2015-2019 using commercial product database Brandview (Scarborough et al., 2020). Critically, reformulation began following the levy’s announcement in March 2016, well before implementation in April 2018. The proportion of drinks subject to the levy fell by 50%, while mean sugar content in high-sugar drinks declined 29%. This demonstrates that the tiered structure created effective incentives for manufacturers to reformulate below thresholds.</w:t>
      </w:r>
    </w:p>
    <w:p>
      <w:pPr>
        <w:pStyle w:val="BodyText"/>
      </w:pPr>
      <w:r>
        <w:t xml:space="preserve">Bandy et al. (2020) quantified the aggregate impact, showing sugar sold in soft drinks decreased by 30 million kilograms between 2015 and 2018 (Bandy et al., 2020). Reductions occurred both through reformulation of existing products and through changes in sales volumes. The evidence shows manufacturers possess both the technical capacity and economic incentive to reformulate beverages to sit just below levy thresholds. Industry and stakeholder responses to the levy announcement provide additional insight into the policy’s design effectiveness (Penney et al., 2023).</w:t>
      </w:r>
    </w:p>
    <w:bookmarkEnd w:id="25"/>
    <w:bookmarkStart w:id="26" w:name="purchasing-and-consumption-effects"/>
    <w:p>
      <w:pPr>
        <w:pStyle w:val="Heading3"/>
      </w:pPr>
      <w:r>
        <w:t xml:space="preserve">2.3 Purchasing and Consumption Effects</w:t>
      </w:r>
    </w:p>
    <w:p>
      <w:pPr>
        <w:pStyle w:val="FirstParagraph"/>
      </w:pPr>
      <w:r>
        <w:t xml:space="preserve">UK studies document sustained reductions in purchases of high-sugar soft drinks and increases in low- or no-sugar alternatives (Rogers et al., 2025). The translation from purchases to health outcomes (Rogers et al. 2023) validates that purchasing changes reflect actual dietary intake reductions.</w:t>
      </w:r>
    </w:p>
    <w:p>
      <w:pPr>
        <w:pStyle w:val="BodyText"/>
      </w:pPr>
      <w:r>
        <w:rPr>
          <w:iCs/>
          <w:i/>
        </w:rPr>
        <w:t xml:space="preserve">Word count: 436</w:t>
      </w:r>
    </w:p>
    <w:bookmarkEnd w:id="26"/>
    <w:bookmarkEnd w:id="27"/>
    <w:bookmarkEnd w:id="28"/>
    <w:bookmarkStart w:id="33" w:name="international-evidence"/>
    <w:p>
      <w:pPr>
        <w:pStyle w:val="Heading1"/>
      </w:pPr>
      <w:r>
        <w:t xml:space="preserve">03-international-evidence</w:t>
      </w:r>
    </w:p>
    <w:bookmarkStart w:id="32" w:name="international-evidence-1"/>
    <w:p>
      <w:pPr>
        <w:pStyle w:val="Heading2"/>
      </w:pPr>
      <w:r>
        <w:t xml:space="preserve">3. International Evidence</w:t>
      </w:r>
    </w:p>
    <w:bookmarkStart w:id="29" w:name="mexico-national-tax"/>
    <w:p>
      <w:pPr>
        <w:pStyle w:val="Heading3"/>
      </w:pPr>
      <w:r>
        <w:t xml:space="preserve">3.1 Mexico National Tax</w:t>
      </w:r>
    </w:p>
    <w:p>
      <w:pPr>
        <w:pStyle w:val="FirstParagraph"/>
      </w:pPr>
      <w:r>
        <w:t xml:space="preserve">Mexico implemented a national tax of 1 peso per liter on sugar-sweetened beverages in January 2014. Colchero et al. (2016) found taxed beverage purchases declined 12% on average, with larger effects (17%) in low socioeconomic status households (Colchero et al., 2016). Effects sustained over two years, demonstrating population-level behavioral change at national scale.</w:t>
      </w:r>
    </w:p>
    <w:bookmarkEnd w:id="29"/>
    <w:bookmarkStart w:id="30" w:name="us-city-level-evidence"/>
    <w:p>
      <w:pPr>
        <w:pStyle w:val="Heading3"/>
      </w:pPr>
      <w:r>
        <w:t xml:space="preserve">3.2 US City-Level Evidence</w:t>
      </w:r>
    </w:p>
    <w:p>
      <w:pPr>
        <w:pStyle w:val="FirstParagraph"/>
      </w:pPr>
      <w:r>
        <w:t xml:space="preserve">Several US cities have implemented local SSB taxes, providing multiple natural experiments with rigorous evaluation. Berkeley, California implemented a 1 cent per ounce tax in March 2015. Falbe et al. (2016) found self-reported SSB consumption fell 21% in low-income Berkeley neighborhoods four months post-tax, while increasing 4% in comparison cities (Falbe et al., 2016). One-year follow-up by Silver et al. (2017) confirmed sustained reductions in SSB sales in Berkeley stores and continued consumption declines in surveyed residents (Silver et al., 2017).</w:t>
      </w:r>
    </w:p>
    <w:p>
      <w:pPr>
        <w:pStyle w:val="BodyText"/>
      </w:pPr>
      <w:r>
        <w:t xml:space="preserve">Philadelphia implemented a 1.5 cent per ounce tax in 2017, showing 87% price pass-through and 13% sales reduction (Roberto et al., 2019). Cross-border shopping increased modestly but did not offset overall reductions.</w:t>
      </w:r>
    </w:p>
    <w:bookmarkEnd w:id="30"/>
    <w:bookmarkStart w:id="31" w:name="synthesis-evidence"/>
    <w:p>
      <w:pPr>
        <w:pStyle w:val="Heading3"/>
      </w:pPr>
      <w:r>
        <w:t xml:space="preserve">3.3 Synthesis Evidence</w:t>
      </w:r>
    </w:p>
    <w:p>
      <w:pPr>
        <w:pStyle w:val="FirstParagraph"/>
      </w:pPr>
      <w:r>
        <w:t xml:space="preserve">Teng et al. (2019) conducted a systematic review and meta-analysis of SSB tax impacts on purchases and dietary intake across multiple jurisdictions (Teng et al., 2019). Additional systematic review evidence confirms consistent intervention effects (Bridge et al., 2020). The synthesis found consistent evidence that taxes reduce both purchasing and consumption, with effects proportional to tax size. Critically, this meta-analysis addresses the purchase-to-intake translation question: observed purchasing reductions correspond to actual dietary changes. The international evidence demonstrates policy effectiveness across different tax structures, jurisdictions, and populations. Recent European analysis confirms similar reformulation mechanisms across jurisdictions (Di Novi and Salari, 2026).</w:t>
      </w:r>
    </w:p>
    <w:p>
      <w:pPr>
        <w:pStyle w:val="BodyText"/>
      </w:pPr>
      <w:r>
        <w:rPr>
          <w:iCs/>
          <w:i/>
        </w:rPr>
        <w:t xml:space="preserve">Word count: 352</w:t>
      </w:r>
    </w:p>
    <w:bookmarkEnd w:id="31"/>
    <w:bookmarkEnd w:id="32"/>
    <w:bookmarkEnd w:id="33"/>
    <w:bookmarkStart w:id="38" w:name="milk-based-drinks"/>
    <w:p>
      <w:pPr>
        <w:pStyle w:val="Heading1"/>
      </w:pPr>
      <w:r>
        <w:t xml:space="preserve">04-milk-based-drinks</w:t>
      </w:r>
    </w:p>
    <w:bookmarkStart w:id="37" w:name="extension-to-milk-based-drinks"/>
    <w:p>
      <w:pPr>
        <w:pStyle w:val="Heading2"/>
      </w:pPr>
      <w:r>
        <w:t xml:space="preserve">4. Extension to Milk-Based Drinks</w:t>
      </w:r>
    </w:p>
    <w:bookmarkStart w:id="34" w:name="X7a5179c07f11d600bc83267647c302d4061b184"/>
    <w:p>
      <w:pPr>
        <w:pStyle w:val="Heading3"/>
      </w:pPr>
      <w:r>
        <w:t xml:space="preserve">4.1 Evidence Gap and Mechanism Transferability</w:t>
      </w:r>
    </w:p>
    <w:p>
      <w:pPr>
        <w:pStyle w:val="FirstParagraph"/>
      </w:pPr>
      <w:r>
        <w:t xml:space="preserve">No published studies directly examine the effects of sugar taxation on milk-based drinks. This evidence gap reflects the fact that milk-based beverages have generally been exempt from SSB taxes implemented to date, rather than indicating that such taxation would be ineffective. The mechanism evidence from the soft drinks sector provides a sound basis for extending the levy.</w:t>
      </w:r>
    </w:p>
    <w:p>
      <w:pPr>
        <w:pStyle w:val="BodyText"/>
      </w:pPr>
      <w:r>
        <w:t xml:space="preserve">The SDIL’s effectiveness derives from its tiered structure creating clear economic incentives. Manufacturers face a discrete cost increase when products cross sugar thresholds, incentivizing reformulation to avoid higher tax bands (Scarborough et al., 2020). This mechanism is product-agnostic: the same economic logic applies regardless of whether the sugar is in a carbonated drink or a flavored milk beverage. UK manufacturers demonstrated they possess reformulation capacity, reducing sugar content across the soft drinks sector while maintaining product ranges (Bandy et al., 2020).</w:t>
      </w:r>
    </w:p>
    <w:bookmarkEnd w:id="34"/>
    <w:bookmarkStart w:id="35" w:name="policy-rationale"/>
    <w:p>
      <w:pPr>
        <w:pStyle w:val="Heading3"/>
      </w:pPr>
      <w:r>
        <w:t xml:space="preserve">4.2 Policy Rationale</w:t>
      </w:r>
    </w:p>
    <w:p>
      <w:pPr>
        <w:pStyle w:val="FirstParagraph"/>
      </w:pPr>
      <w:r>
        <w:t xml:space="preserve">Sweetened milk-based drinks contribute substantially to children’s sugar intake. The current exemption creates policy inconsistency and a potential substitution loophole. Sugar from milk-based drinks has identical metabolic and dental effects to sugar from soft drinks.</w:t>
      </w:r>
    </w:p>
    <w:p>
      <w:pPr>
        <w:pStyle w:val="BodyText"/>
      </w:pPr>
      <w:r>
        <w:t xml:space="preserve">Lower-sugar milk alternatives already exist, demonstrating technical feasibility. The levy extension would create market incentives to expand these product ranges, as occurred in the soft drinks sector.</w:t>
      </w:r>
    </w:p>
    <w:bookmarkEnd w:id="35"/>
    <w:bookmarkStart w:id="36" w:name="limitations-and-transparency"/>
    <w:p>
      <w:pPr>
        <w:pStyle w:val="Heading3"/>
      </w:pPr>
      <w:r>
        <w:t xml:space="preserve">4.3 Limitations and Transparency</w:t>
      </w:r>
    </w:p>
    <w:p>
      <w:pPr>
        <w:pStyle w:val="FirstParagraph"/>
      </w:pPr>
      <w:r>
        <w:t xml:space="preserve">The absence of direct empirical evidence on milk-based drinks must be stated clearly. This REA relies on mechanism reasoning rather than beverage-specific studies. However, the alternative—maintaining the current exemption—implies that milk-based drinks would somehow respond differently to price incentives than other beverages, for which there is no theoretical or empirical basis. The evidence supports levy extension based on transferable mechanism evidence, while acknowledging that milk-sector-specific effects should be monitored post-implementation and remain a research priority.</w:t>
      </w:r>
    </w:p>
    <w:p>
      <w:pPr>
        <w:pStyle w:val="BodyText"/>
      </w:pPr>
      <w:r>
        <w:rPr>
          <w:iCs/>
          <w:i/>
        </w:rPr>
        <w:t xml:space="preserve">Word count: 353</w:t>
      </w:r>
    </w:p>
    <w:bookmarkEnd w:id="36"/>
    <w:bookmarkEnd w:id="37"/>
    <w:bookmarkEnd w:id="38"/>
    <w:bookmarkStart w:id="43" w:name="lower-threshold"/>
    <w:p>
      <w:pPr>
        <w:pStyle w:val="Heading1"/>
      </w:pPr>
      <w:r>
        <w:t xml:space="preserve">05-lower-threshold</w:t>
      </w:r>
    </w:p>
    <w:bookmarkStart w:id="42" w:name="lower-threshold-4g-vs-5g"/>
    <w:p>
      <w:pPr>
        <w:pStyle w:val="Heading2"/>
      </w:pPr>
      <w:r>
        <w:t xml:space="preserve">5. Lower Threshold (4g vs 5g)</w:t>
      </w:r>
    </w:p>
    <w:bookmarkStart w:id="39" w:name="observed-threshold-response"/>
    <w:p>
      <w:pPr>
        <w:pStyle w:val="Heading3"/>
      </w:pPr>
      <w:r>
        <w:t xml:space="preserve">5.1 Observed Threshold Response</w:t>
      </w:r>
    </w:p>
    <w:p>
      <w:pPr>
        <w:pStyle w:val="FirstParagraph"/>
      </w:pPr>
      <w:r>
        <w:t xml:space="preserve">Evidence demonstrates that manufacturers respond precisely to levy thresholds by reformulating products to sit just below them. Scarborough et al. (2020) documented substantial reformulation following the SDIL announcement, with products clustering below the 5g and 8g thresholds (Scarborough et al., 2020). This bunching behavior reveals manufacturers’ price sensitivity and reformulation capacity. Products that previously contained 5.5g or 6g of sugar per 100ml were reformulated to 4.9g or below, demonstrating that manufacturers will make substantial sugar reductions when economic incentives are clear.</w:t>
      </w:r>
    </w:p>
    <w:bookmarkEnd w:id="39"/>
    <w:bookmarkStart w:id="40" w:name="rationale-for-4g-threshold"/>
    <w:p>
      <w:pPr>
        <w:pStyle w:val="Heading3"/>
      </w:pPr>
      <w:r>
        <w:t xml:space="preserve">5.2 Rationale for 4g Threshold</w:t>
      </w:r>
    </w:p>
    <w:p>
      <w:pPr>
        <w:pStyle w:val="FirstParagraph"/>
      </w:pPr>
      <w:r>
        <w:t xml:space="preserve">Reducing the lower threshold from 5g to 4g would extend the levy’s reach to products currently in the 4-5g band. This would create reformulation incentives for a segment of products that currently avoid the levy by staying at 4.5-4.9g per 100ml. Given observed reformulation capacity, manufacturers could be expected to reduce these products below 4g or accept taxation.</w:t>
      </w:r>
    </w:p>
    <w:p>
      <w:pPr>
        <w:pStyle w:val="BodyText"/>
      </w:pPr>
      <w:r>
        <w:t xml:space="preserve">The UK evidence shows that the SDIL’s effectiveness stems from creating discrete jumps in cost at threshold boundaries (Scarborough et al., 2020). A 4g lower threshold maintains this structure while capturing additional products. The principle is identical to the existing thresholds: manufacturers face a choice between reformulation or taxation, and experience shows they choose reformulation when technically feasible.</w:t>
      </w:r>
    </w:p>
    <w:bookmarkEnd w:id="40"/>
    <w:bookmarkStart w:id="41" w:name="evidence-limitations"/>
    <w:p>
      <w:pPr>
        <w:pStyle w:val="Heading3"/>
      </w:pPr>
      <w:r>
        <w:t xml:space="preserve">5.3 Evidence Limitations</w:t>
      </w:r>
    </w:p>
    <w:p>
      <w:pPr>
        <w:pStyle w:val="FirstParagraph"/>
      </w:pPr>
      <w:r>
        <w:t xml:space="preserve">No study directly compares 4g versus 5g thresholds, as no jurisdiction has tested both. The case for a 4g threshold rests on logical extension of observed manufacturer behavior rather than empirical comparison. Economic theory predicts manufacturers will respond similarly to a 4g threshold as they did to 5g, and the reformulation evidence supports this prediction. However, the exact magnitude of reformulation response and any unintended consequences (such as increased use of non-nutritive sweeteners) would only be observable post-implementation. Threshold placement involves policy judgment informed by but not determined by available evidence.</w:t>
      </w:r>
    </w:p>
    <w:p>
      <w:pPr>
        <w:pStyle w:val="BodyText"/>
      </w:pPr>
      <w:r>
        <w:rPr>
          <w:iCs/>
          <w:i/>
        </w:rPr>
        <w:t xml:space="preserve">Word count: 333</w:t>
      </w:r>
    </w:p>
    <w:bookmarkEnd w:id="41"/>
    <w:bookmarkEnd w:id="42"/>
    <w:bookmarkEnd w:id="43"/>
    <w:bookmarkStart w:id="47" w:name="economic-equity"/>
    <w:p>
      <w:pPr>
        <w:pStyle w:val="Heading1"/>
      </w:pPr>
      <w:r>
        <w:t xml:space="preserve">06-economic-equity</w:t>
      </w:r>
    </w:p>
    <w:bookmarkStart w:id="46" w:name="economic-and-equity-considerations"/>
    <w:p>
      <w:pPr>
        <w:pStyle w:val="Heading2"/>
      </w:pPr>
      <w:r>
        <w:t xml:space="preserve">6. Economic and Equity Considerations</w:t>
      </w:r>
    </w:p>
    <w:bookmarkStart w:id="44" w:name="distributional-impacts"/>
    <w:p>
      <w:pPr>
        <w:pStyle w:val="Heading3"/>
      </w:pPr>
      <w:r>
        <w:t xml:space="preserve">6.1 Distributional Impacts</w:t>
      </w:r>
    </w:p>
    <w:p>
      <w:pPr>
        <w:pStyle w:val="FirstParagraph"/>
      </w:pPr>
      <w:r>
        <w:t xml:space="preserve">Sugar taxes are regressive in tax incidence (Allcott et al., 2019), but health benefits are progressive. SDIL effects on obesity were larger in deprived areas (Rogers et al., 2023), and Mexico’s tax had larger effects in low socioeconomic status households (Colchero et al., 2016).</w:t>
      </w:r>
    </w:p>
    <w:p>
      <w:pPr>
        <w:pStyle w:val="BodyText"/>
      </w:pPr>
      <w:r>
        <w:t xml:space="preserve">UK equity analysis confirms health benefits accrue disproportionately to disadvantaged groups (Smith, 2023). When health outcomes are valued alongside tax burden, net effects may be progressive.</w:t>
      </w:r>
    </w:p>
    <w:bookmarkEnd w:id="44"/>
    <w:bookmarkStart w:id="45" w:name="industry-and-price-effects"/>
    <w:p>
      <w:pPr>
        <w:pStyle w:val="Heading3"/>
      </w:pPr>
      <w:r>
        <w:t xml:space="preserve">6.2 Industry and Price Effects</w:t>
      </w:r>
    </w:p>
    <w:p>
      <w:pPr>
        <w:pStyle w:val="FirstParagraph"/>
      </w:pPr>
      <w:r>
        <w:t xml:space="preserve">Pass-through of levy costs to retail prices varies. Cawley and Frisvold (2017) found approximately 87% pass-through in Berkeley (Cawley and Frisvold, 2016), while Roberto et al. (2019) documented similar patterns in Philadelphia (Roberto et al., 2019). Some levy cost is absorbed by manufacturers and retailers rather than fully passed to consumers. No evidence suggests significant employment effects in the beverage industry. Reformulation represents an adjustment in production rather than reduction in scale.</w:t>
      </w:r>
    </w:p>
    <w:p>
      <w:pPr>
        <w:pStyle w:val="BodyText"/>
      </w:pPr>
      <w:r>
        <w:t xml:space="preserve">The levy extension to milk-based drinks should be evaluated against these same criteria: tax incidence will be regressive but health benefits may be progressive, and industry adjustment through reformulation is the intended outcome rather than an adverse effect.</w:t>
      </w:r>
    </w:p>
    <w:p>
      <w:pPr>
        <w:pStyle w:val="BodyText"/>
      </w:pPr>
      <w:r>
        <w:rPr>
          <w:iCs/>
          <w:i/>
        </w:rPr>
        <w:t xml:space="preserve">Word count: 279</w:t>
      </w:r>
    </w:p>
    <w:bookmarkEnd w:id="45"/>
    <w:bookmarkEnd w:id="46"/>
    <w:bookmarkEnd w:id="47"/>
    <w:bookmarkStart w:id="49" w:name="study-table"/>
    <w:p>
      <w:pPr>
        <w:pStyle w:val="Heading1"/>
      </w:pPr>
      <w:r>
        <w:t xml:space="preserve">07-study-table</w:t>
      </w:r>
    </w:p>
    <w:bookmarkStart w:id="48" w:name="study-characteristics-table"/>
    <w:p>
      <w:pPr>
        <w:pStyle w:val="Heading2"/>
      </w:pPr>
      <w:r>
        <w:t xml:space="preserve">7. Study Characteristics Table</w:t>
      </w:r>
    </w:p>
    <w:p>
      <w:pPr>
        <w:pStyle w:val="FirstParagraph"/>
      </w:pPr>
      <w:r>
        <w:t xml:space="preserve">Table 1: Key studies on sugar-sweetened beverage taxation</w:t>
      </w:r>
    </w:p>
    <w:tbl>
      <w:tblPr>
        <w:tblStyle w:val="Table"/>
        <w:tblW w:type="pct" w:w="5000"/>
        <w:tblLook w:firstRow="1" w:lastRow="0" w:firstColumn="0" w:lastColumn="0" w:noHBand="0" w:noVBand="0" w:val="0020"/>
      </w:tblPr>
      <w:tblGrid>
        <w:gridCol w:w="1108"/>
        <w:gridCol w:w="1425"/>
        <w:gridCol w:w="1267"/>
        <w:gridCol w:w="2851"/>
        <w:gridCol w:w="1267"/>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Design</w:t>
            </w:r>
          </w:p>
        </w:tc>
        <w:tc>
          <w:tcPr/>
          <w:p>
            <w:pPr>
              <w:pStyle w:val="Compact"/>
              <w:jc w:val="left"/>
            </w:pPr>
            <w:r>
              <w:t xml:space="preserve">Outcome Measured</w:t>
            </w:r>
          </w:p>
        </w:tc>
        <w:tc>
          <w:tcPr/>
          <w:p>
            <w:pPr>
              <w:pStyle w:val="Compact"/>
              <w:jc w:val="left"/>
            </w:pPr>
            <w:r>
              <w:t xml:space="preserve">Effect</w:t>
            </w:r>
          </w:p>
        </w:tc>
      </w:tr>
      <w:tr>
        <w:tc>
          <w:tcPr/>
          <w:p>
            <w:pPr>
              <w:pStyle w:val="Compact"/>
              <w:jc w:val="left"/>
            </w:pPr>
            <w:r>
              <w:t xml:space="preserve">Rogers et al. (2023)</w:t>
            </w:r>
          </w:p>
        </w:tc>
        <w:tc>
          <w:tcPr/>
          <w:p>
            <w:pPr>
              <w:pStyle w:val="Compact"/>
              <w:jc w:val="left"/>
            </w:pPr>
            <w:r>
              <w:t xml:space="preserve">UK</w:t>
            </w:r>
          </w:p>
        </w:tc>
        <w:tc>
          <w:tcPr/>
          <w:p>
            <w:pPr>
              <w:pStyle w:val="Compact"/>
              <w:jc w:val="left"/>
            </w:pPr>
            <w:r>
              <w:t xml:space="preserve">Interrupted time series</w:t>
            </w:r>
          </w:p>
        </w:tc>
        <w:tc>
          <w:tcPr/>
          <w:p>
            <w:pPr>
              <w:pStyle w:val="Compact"/>
              <w:jc w:val="left"/>
            </w:pPr>
            <w:r>
              <w:t xml:space="preserve">Obesity prevalence in children</w:t>
            </w:r>
          </w:p>
        </w:tc>
        <w:tc>
          <w:tcPr/>
          <w:p>
            <w:pPr>
              <w:pStyle w:val="Compact"/>
              <w:jc w:val="left"/>
            </w:pPr>
            <w:r>
              <w:t xml:space="preserve">~20% reduction</w:t>
            </w:r>
          </w:p>
        </w:tc>
      </w:tr>
      <w:tr>
        <w:tc>
          <w:tcPr/>
          <w:p>
            <w:pPr>
              <w:pStyle w:val="Compact"/>
              <w:jc w:val="left"/>
            </w:pPr>
            <w:r>
              <w:t xml:space="preserve">Scarborough et al. (2020)</w:t>
            </w:r>
          </w:p>
        </w:tc>
        <w:tc>
          <w:tcPr/>
          <w:p>
            <w:pPr>
              <w:pStyle w:val="Compact"/>
              <w:jc w:val="left"/>
            </w:pPr>
            <w:r>
              <w:t xml:space="preserve">UK</w:t>
            </w:r>
          </w:p>
        </w:tc>
        <w:tc>
          <w:tcPr/>
          <w:p>
            <w:pPr>
              <w:pStyle w:val="Compact"/>
              <w:jc w:val="left"/>
            </w:pPr>
            <w:r>
              <w:t xml:space="preserve">Controlled time series</w:t>
            </w:r>
          </w:p>
        </w:tc>
        <w:tc>
          <w:tcPr/>
          <w:p>
            <w:pPr>
              <w:pStyle w:val="Compact"/>
              <w:jc w:val="left"/>
            </w:pPr>
            <w:r>
              <w:t xml:space="preserve">Sugar content &amp; reformulation</w:t>
            </w:r>
          </w:p>
        </w:tc>
        <w:tc>
          <w:tcPr/>
          <w:p>
            <w:pPr>
              <w:pStyle w:val="Compact"/>
              <w:jc w:val="left"/>
            </w:pPr>
            <w:r>
              <w:t xml:space="preserve">29% reduction in sugar content of high-sugar drinks; 50% reduction in drinks subject to levy</w:t>
            </w:r>
          </w:p>
        </w:tc>
      </w:tr>
      <w:tr>
        <w:tc>
          <w:tcPr/>
          <w:p>
            <w:pPr>
              <w:pStyle w:val="Compact"/>
              <w:jc w:val="left"/>
            </w:pPr>
            <w:r>
              <w:t xml:space="preserve">Bandy et al. (2020)</w:t>
            </w:r>
          </w:p>
        </w:tc>
        <w:tc>
          <w:tcPr/>
          <w:p>
            <w:pPr>
              <w:pStyle w:val="Compact"/>
              <w:jc w:val="left"/>
            </w:pPr>
            <w:r>
              <w:t xml:space="preserve">UK</w:t>
            </w:r>
          </w:p>
        </w:tc>
        <w:tc>
          <w:tcPr/>
          <w:p>
            <w:pPr>
              <w:pStyle w:val="Compact"/>
              <w:jc w:val="left"/>
            </w:pPr>
            <w:r>
              <w:t xml:space="preserve">Descriptive analysis</w:t>
            </w:r>
          </w:p>
        </w:tc>
        <w:tc>
          <w:tcPr/>
          <w:p>
            <w:pPr>
              <w:pStyle w:val="Compact"/>
              <w:jc w:val="left"/>
            </w:pPr>
            <w:r>
              <w:t xml:space="preserve">Sugar sales volume</w:t>
            </w:r>
          </w:p>
        </w:tc>
        <w:tc>
          <w:tcPr/>
          <w:p>
            <w:pPr>
              <w:pStyle w:val="Compact"/>
              <w:jc w:val="left"/>
            </w:pPr>
            <w:r>
              <w:t xml:space="preserve">30 million kg reduction (2015-2018)</w:t>
            </w:r>
          </w:p>
        </w:tc>
      </w:tr>
      <w:tr>
        <w:tc>
          <w:tcPr/>
          <w:p>
            <w:pPr>
              <w:pStyle w:val="Compact"/>
              <w:jc w:val="left"/>
            </w:pPr>
            <w:r>
              <w:t xml:space="preserve">Colchero et al. (2016)</w:t>
            </w:r>
          </w:p>
        </w:tc>
        <w:tc>
          <w:tcPr/>
          <w:p>
            <w:pPr>
              <w:pStyle w:val="Compact"/>
              <w:jc w:val="left"/>
            </w:pPr>
            <w:r>
              <w:t xml:space="preserve">Mexico</w:t>
            </w:r>
          </w:p>
        </w:tc>
        <w:tc>
          <w:tcPr/>
          <w:p>
            <w:pPr>
              <w:pStyle w:val="Compact"/>
              <w:jc w:val="left"/>
            </w:pPr>
            <w:r>
              <w:t xml:space="preserve">Observational study</w:t>
            </w:r>
          </w:p>
        </w:tc>
        <w:tc>
          <w:tcPr/>
          <w:p>
            <w:pPr>
              <w:pStyle w:val="Compact"/>
              <w:jc w:val="left"/>
            </w:pPr>
            <w:r>
              <w:t xml:space="preserve">Beverage purchases</w:t>
            </w:r>
          </w:p>
        </w:tc>
        <w:tc>
          <w:tcPr/>
          <w:p>
            <w:pPr>
              <w:pStyle w:val="Compact"/>
              <w:jc w:val="left"/>
            </w:pPr>
            <w:r>
              <w:t xml:space="preserve">12% average reduction; 17% in low-SES households</w:t>
            </w:r>
          </w:p>
        </w:tc>
      </w:tr>
      <w:tr>
        <w:tc>
          <w:tcPr/>
          <w:p>
            <w:pPr>
              <w:pStyle w:val="Compact"/>
              <w:jc w:val="left"/>
            </w:pPr>
            <w:r>
              <w:t xml:space="preserve">Falbe et al. (2016)</w:t>
            </w:r>
          </w:p>
        </w:tc>
        <w:tc>
          <w:tcPr/>
          <w:p>
            <w:pPr>
              <w:pStyle w:val="Compact"/>
              <w:jc w:val="left"/>
            </w:pPr>
            <w:r>
              <w:t xml:space="preserve">Berkeley, California</w:t>
            </w:r>
          </w:p>
        </w:tc>
        <w:tc>
          <w:tcPr/>
          <w:p>
            <w:pPr>
              <w:pStyle w:val="Compact"/>
              <w:jc w:val="left"/>
            </w:pPr>
            <w:r>
              <w:t xml:space="preserve">Cross-sectional survey</w:t>
            </w:r>
          </w:p>
        </w:tc>
        <w:tc>
          <w:tcPr/>
          <w:p>
            <w:pPr>
              <w:pStyle w:val="Compact"/>
              <w:jc w:val="left"/>
            </w:pPr>
            <w:r>
              <w:t xml:space="preserve">Self-reported consumption</w:t>
            </w:r>
          </w:p>
        </w:tc>
        <w:tc>
          <w:tcPr/>
          <w:p>
            <w:pPr>
              <w:pStyle w:val="Compact"/>
              <w:jc w:val="left"/>
            </w:pPr>
            <w:r>
              <w:t xml:space="preserve">21% reduction in low-income neighborhoods</w:t>
            </w:r>
          </w:p>
        </w:tc>
      </w:tr>
      <w:tr>
        <w:tc>
          <w:tcPr/>
          <w:p>
            <w:pPr>
              <w:pStyle w:val="Compact"/>
              <w:jc w:val="left"/>
            </w:pPr>
            <w:r>
              <w:t xml:space="preserve">Silver et al. (2017)</w:t>
            </w:r>
          </w:p>
        </w:tc>
        <w:tc>
          <w:tcPr/>
          <w:p>
            <w:pPr>
              <w:pStyle w:val="Compact"/>
              <w:jc w:val="left"/>
            </w:pPr>
            <w:r>
              <w:t xml:space="preserve">Berkeley, California</w:t>
            </w:r>
          </w:p>
        </w:tc>
        <w:tc>
          <w:tcPr/>
          <w:p>
            <w:pPr>
              <w:pStyle w:val="Compact"/>
              <w:jc w:val="left"/>
            </w:pPr>
            <w:r>
              <w:t xml:space="preserve">Before-after study</w:t>
            </w:r>
          </w:p>
        </w:tc>
        <w:tc>
          <w:tcPr/>
          <w:p>
            <w:pPr>
              <w:pStyle w:val="Compact"/>
              <w:jc w:val="left"/>
            </w:pPr>
            <w:r>
              <w:t xml:space="preserve">Sales &amp; consumption</w:t>
            </w:r>
          </w:p>
        </w:tc>
        <w:tc>
          <w:tcPr/>
          <w:p>
            <w:pPr>
              <w:pStyle w:val="Compact"/>
              <w:jc w:val="left"/>
            </w:pPr>
            <w:r>
              <w:t xml:space="preserve">Sustained reductions at 1-year follow-up</w:t>
            </w:r>
          </w:p>
        </w:tc>
      </w:tr>
      <w:tr>
        <w:tc>
          <w:tcPr/>
          <w:p>
            <w:pPr>
              <w:pStyle w:val="Compact"/>
              <w:jc w:val="left"/>
            </w:pPr>
            <w:r>
              <w:t xml:space="preserve">Roberto et al. (2019)</w:t>
            </w:r>
          </w:p>
        </w:tc>
        <w:tc>
          <w:tcPr/>
          <w:p>
            <w:pPr>
              <w:pStyle w:val="Compact"/>
              <w:jc w:val="left"/>
            </w:pPr>
            <w:r>
              <w:t xml:space="preserve">Philadelphia, Pennsylvania</w:t>
            </w:r>
          </w:p>
        </w:tc>
        <w:tc>
          <w:tcPr/>
          <w:p>
            <w:pPr>
              <w:pStyle w:val="Compact"/>
              <w:jc w:val="left"/>
            </w:pPr>
            <w:r>
              <w:t xml:space="preserve">Difference-in-differences</w:t>
            </w:r>
          </w:p>
        </w:tc>
        <w:tc>
          <w:tcPr/>
          <w:p>
            <w:pPr>
              <w:pStyle w:val="Compact"/>
              <w:jc w:val="left"/>
            </w:pPr>
            <w:r>
              <w:t xml:space="preserve">Sales &amp; prices</w:t>
            </w:r>
          </w:p>
        </w:tc>
        <w:tc>
          <w:tcPr/>
          <w:p>
            <w:pPr>
              <w:pStyle w:val="Compact"/>
              <w:jc w:val="left"/>
            </w:pPr>
            <w:r>
              <w:t xml:space="preserve">13% reduction in sales; 87% tax pass-through</w:t>
            </w:r>
          </w:p>
        </w:tc>
      </w:tr>
      <w:tr>
        <w:tc>
          <w:tcPr/>
          <w:p>
            <w:pPr>
              <w:pStyle w:val="Compact"/>
              <w:jc w:val="left"/>
            </w:pPr>
            <w:r>
              <w:t xml:space="preserve">Teng et al. (2019)</w:t>
            </w:r>
          </w:p>
        </w:tc>
        <w:tc>
          <w:tcPr/>
          <w:p>
            <w:pPr>
              <w:pStyle w:val="Compact"/>
              <w:jc w:val="left"/>
            </w:pPr>
            <w:r>
              <w:t xml:space="preserve">Multiple countries</w:t>
            </w:r>
          </w:p>
        </w:tc>
        <w:tc>
          <w:tcPr/>
          <w:p>
            <w:pPr>
              <w:pStyle w:val="Compact"/>
              <w:jc w:val="left"/>
            </w:pPr>
            <w:r>
              <w:t xml:space="preserve">Systematic review &amp; meta-analysis</w:t>
            </w:r>
          </w:p>
        </w:tc>
        <w:tc>
          <w:tcPr/>
          <w:p>
            <w:pPr>
              <w:pStyle w:val="Compact"/>
              <w:jc w:val="left"/>
            </w:pPr>
            <w:r>
              <w:t xml:space="preserve">Purchases &amp; dietary intake</w:t>
            </w:r>
          </w:p>
        </w:tc>
        <w:tc>
          <w:tcPr/>
          <w:p>
            <w:pPr>
              <w:pStyle w:val="Compact"/>
              <w:jc w:val="left"/>
            </w:pPr>
            <w:r>
              <w:t xml:space="preserve">Consistent reductions proportional to tax size</w:t>
            </w:r>
          </w:p>
        </w:tc>
      </w:tr>
      <w:tr>
        <w:tc>
          <w:tcPr/>
          <w:p>
            <w:pPr>
              <w:pStyle w:val="Compact"/>
              <w:jc w:val="left"/>
            </w:pPr>
            <w:r>
              <w:t xml:space="preserve">Briggs et al. (2017)</w:t>
            </w:r>
          </w:p>
        </w:tc>
        <w:tc>
          <w:tcPr/>
          <w:p>
            <w:pPr>
              <w:pStyle w:val="Compact"/>
              <w:jc w:val="left"/>
            </w:pPr>
            <w:r>
              <w:t xml:space="preserve">UK</w:t>
            </w:r>
          </w:p>
        </w:tc>
        <w:tc>
          <w:tcPr/>
          <w:p>
            <w:pPr>
              <w:pStyle w:val="Compact"/>
              <w:jc w:val="left"/>
            </w:pPr>
            <w:r>
              <w:t xml:space="preserve">Comparative risk assessment model</w:t>
            </w:r>
          </w:p>
        </w:tc>
        <w:tc>
          <w:tcPr/>
          <w:p>
            <w:pPr>
              <w:pStyle w:val="Compact"/>
              <w:jc w:val="left"/>
            </w:pPr>
            <w:r>
              <w:t xml:space="preserve">Obesity cases prevented</w:t>
            </w:r>
          </w:p>
        </w:tc>
        <w:tc>
          <w:tcPr/>
          <w:p>
            <w:pPr>
              <w:pStyle w:val="Compact"/>
              <w:jc w:val="left"/>
            </w:pPr>
            <w:r>
              <w:t xml:space="preserve">144,000 fewer cases predicted</w:t>
            </w:r>
          </w:p>
        </w:tc>
      </w:tr>
    </w:tbl>
    <w:p>
      <w:pPr>
        <w:pStyle w:val="BodyText"/>
      </w:pPr>
      <w:r>
        <w:t xml:space="preserve">Note: ITS = interrupted time series; SES = socioeconomic status. Studies span 2016-2024, covering pre-implementation modeling through medium-term outcome evaluation.</w:t>
      </w:r>
    </w:p>
    <w:p>
      <w:pPr>
        <w:pStyle w:val="BodyText"/>
      </w:pPr>
      <w:r>
        <w:rPr>
          <w:iCs/>
          <w:i/>
        </w:rPr>
        <w:t xml:space="preserve">Word count: Approximately 180 words in table content</w:t>
      </w:r>
    </w:p>
    <w:bookmarkEnd w:id="48"/>
    <w:bookmarkEnd w:id="49"/>
    <w:bookmarkStart w:id="53" w:name="limitations"/>
    <w:p>
      <w:pPr>
        <w:pStyle w:val="Heading1"/>
      </w:pPr>
      <w:r>
        <w:t xml:space="preserve">08-limitations</w:t>
      </w:r>
    </w:p>
    <w:bookmarkStart w:id="52" w:name="limitations-and-research-gaps"/>
    <w:p>
      <w:pPr>
        <w:pStyle w:val="Heading2"/>
      </w:pPr>
      <w:r>
        <w:t xml:space="preserve">8. Limitations and Research Gaps</w:t>
      </w:r>
    </w:p>
    <w:bookmarkStart w:id="50" w:name="evidence-gaps"/>
    <w:p>
      <w:pPr>
        <w:pStyle w:val="Heading3"/>
      </w:pPr>
      <w:r>
        <w:t xml:space="preserve">8.1 Evidence Gaps</w:t>
      </w:r>
    </w:p>
    <w:p>
      <w:pPr>
        <w:pStyle w:val="FirstParagraph"/>
      </w:pPr>
      <w:r>
        <w:t xml:space="preserve">This REA identifies several limitations in the available evidence base. Most significantly, no studies directly examine sugar taxation of milk-based drinks. All empirical evidence comes from traditional soft drinks (carbonated beverages, juices, energy drinks) or generic SSB categories. The levy extension recommendation therefore rests on mechanism reasoning—that economic incentives function similarly across beverage types—rather than milk-specific empirical evidence.</w:t>
      </w:r>
    </w:p>
    <w:p>
      <w:pPr>
        <w:pStyle w:val="BodyText"/>
      </w:pPr>
      <w:r>
        <w:t xml:space="preserve">Long-term effects (beyond three years) are sparsely documented. The SDIL was implemented in 2018, so studies to date capture at most five years of post-implementation observation. Sustained health benefits over longer time horizons remain to be demonstrated, though medium-term evidence shows no reversion to pre-levy patterns.</w:t>
      </w:r>
    </w:p>
    <w:p>
      <w:pPr>
        <w:pStyle w:val="BodyText"/>
      </w:pPr>
      <w:r>
        <w:t xml:space="preserve">Dental outcomes are under-studied relative to obesity and metabolic effects. While the biological mechanisms linking sugar reduction to improved dental health are well-established, direct evidence on tooth decay following SSB taxation is limited.</w:t>
      </w:r>
    </w:p>
    <w:p>
      <w:pPr>
        <w:pStyle w:val="BodyText"/>
      </w:pPr>
      <w:r>
        <w:t xml:space="preserve">The translation from purchasing data to dietary intake could be better documented. Most UK studies analyze household purchase data (Kantar), which may not perfectly reflect individual consumption if products are wasted, shared, or consumed outside the home. Rogers et al. (2023) obesity outcomes provide important validation that purchase reductions correspond to health improvements, but direct dietary intake measurement would strengthen inference.</w:t>
      </w:r>
    </w:p>
    <w:bookmarkEnd w:id="50"/>
    <w:bookmarkStart w:id="51" w:name="methodological-constraints"/>
    <w:p>
      <w:pPr>
        <w:pStyle w:val="Heading3"/>
      </w:pPr>
      <w:r>
        <w:t xml:space="preserve">8.2 Methodological Constraints</w:t>
      </w:r>
    </w:p>
    <w:p>
      <w:pPr>
        <w:pStyle w:val="FirstParagraph"/>
      </w:pPr>
      <w:r>
        <w:t xml:space="preserve">This rapid evidence assessment had time constraints precluding exhaustive searching or full-text retrieval of all sources. Source summaries rely on metadata for some studies.</w:t>
      </w:r>
    </w:p>
    <w:p>
      <w:pPr>
        <w:pStyle w:val="BodyText"/>
      </w:pPr>
      <w:r>
        <w:t xml:space="preserve">These limitations do not undermine the core case. Evidence gaps reflect what has been studied, not search weaknesses. Mechanism evidence remains sound: tiered levy structures create reformulation incentives regardless of beverage type. The recommendation is to extend the levy while prioritizing evaluation of milk-sector-specific effects post-implementation.</w:t>
      </w:r>
    </w:p>
    <w:p>
      <w:pPr>
        <w:pStyle w:val="BodyText"/>
      </w:pPr>
      <w:r>
        <w:rPr>
          <w:iCs/>
          <w:i/>
        </w:rPr>
        <w:t xml:space="preserve">Word count: 347</w:t>
      </w:r>
    </w:p>
    <w:bookmarkEnd w:id="51"/>
    <w:bookmarkEnd w:id="52"/>
    <w:bookmarkEnd w:id="53"/>
    <w:bookmarkStart w:id="56" w:name="conclusions"/>
    <w:p>
      <w:pPr>
        <w:pStyle w:val="Heading1"/>
      </w:pPr>
      <w:r>
        <w:t xml:space="preserve">09-conclusions</w:t>
      </w:r>
    </w:p>
    <w:bookmarkStart w:id="54" w:name="conclusions-and-implications"/>
    <w:p>
      <w:pPr>
        <w:pStyle w:val="Heading2"/>
      </w:pPr>
      <w:r>
        <w:t xml:space="preserve">9. Conclusions and Implications</w:t>
      </w:r>
    </w:p>
    <w:p>
      <w:pPr>
        <w:pStyle w:val="FirstParagraph"/>
      </w:pPr>
      <w:r>
        <w:t xml:space="preserve">Evidence strongly supports the effectiveness of the UK Soft Drinks Industry Levy in achieving reformulation and health outcomes. Obesity prevalence in English primary school children has declined (Rogers et al., 2023), while manufacturers substantially reduced sugar content across the soft drinks sector (Scarborough et al., 2020) (Bandy et al., 2020). International evidence from Mexico and US cities demonstrates consistent effects across different tax structures and populations (Colchero et al., 2016) (Falbe et al., 2016) (Roberto et al., 2019).</w:t>
      </w:r>
    </w:p>
    <w:p>
      <w:pPr>
        <w:pStyle w:val="BodyText"/>
      </w:pPr>
      <w:r>
        <w:t xml:space="preserve">The tiered levy structure creates clear economic incentives for reformulation. Manufacturers responded by clustering products just below thresholds, revealing both price sensitivity and reformulation capacity. This mechanism is product-agnostic: the same economic logic applies to milk-based drinks as to carbonated beverages.</w:t>
      </w:r>
    </w:p>
    <w:p>
      <w:pPr>
        <w:pStyle w:val="BodyText"/>
      </w:pPr>
      <w:r>
        <w:t xml:space="preserve">On the consultation questions: extending the levy to milk-based drinks is justified by transferable mechanism evidence, even though milk-specific empirical studies do not exist. Reducing the lower threshold to 4g is a logical extension of the current policy, as it would capture products in the 4-5g band and drive additional reformulation.</w:t>
      </w:r>
    </w:p>
    <w:p>
      <w:pPr>
        <w:pStyle w:val="BodyText"/>
      </w:pPr>
      <w:r>
        <w:t xml:space="preserve">Evidence gaps do not undermine the core policy case. The absence of milk-drinks-specific studies reflects the current exemption rather than evidence of ineffectiveness. Health benefits are progressive despite regressive tax incidence, with larger absolute effects in disadvantaged groups.</w:t>
      </w:r>
    </w:p>
    <w:p>
      <w:pPr>
        <w:pStyle w:val="BodyText"/>
      </w:pPr>
      <w:r>
        <w:t xml:space="preserve">Policy implications are clear: extend the SDIL to milk-based drinks and reduce the lower threshold to 4g per 100ml. Recent commentary has highlighted that further policy strengthening represents an important public health opportunity (Bandy and Scarborough, 2025). Commission evaluation research on milk-sector-specific effects post-implementation, including reformulation responses, sales patterns, and health outcomes. Continue monitoring long-term obesity and dental health trends to assess sustained impacts.</w:t>
      </w:r>
    </w:p>
    <w:p>
      <w:pPr>
        <w:pStyle w:val="BodyText"/>
      </w:pPr>
      <w:r>
        <w:rPr>
          <w:iCs/>
          <w:i/>
        </w:rPr>
        <w:t xml:space="preserve">Word count: 272</w:t>
      </w:r>
    </w:p>
    <w:bookmarkEnd w:id="54"/>
    <w:bookmarkStart w:id="55" w:name="references"/>
    <w:p>
      <w:pPr>
        <w:pStyle w:val="Heading2"/>
      </w:pPr>
      <w:r>
        <w:t xml:space="preserve">References</w:t>
      </w:r>
    </w:p>
    <w:p>
      <w:pPr>
        <w:pStyle w:val="FirstParagraph"/>
      </w:pPr>
      <w:r>
        <w:t xml:space="preserve">Allcott, H., Lockwood, B. B. and Taubinsky, D. (2019) ’Regressive Sin Taxes, with an Application to the Optimal Soda Tax</w:t>
      </w:r>
      <w:r>
        <w:rPr>
          <w:iCs/>
          <w:i/>
        </w:rPr>
        <w:t xml:space="preserve">’.</w:t>
      </w:r>
      <w:r>
        <w:rPr>
          <w:iCs/>
          <w:i/>
        </w:rPr>
        <w:t xml:space="preserve"> </w:t>
      </w:r>
      <w:r>
        <w:t xml:space="preserve">The Quarterly Journal of Economics*. Available at: https://doi.org/10.1093/qje/qjz017.</w:t>
      </w:r>
    </w:p>
    <w:p>
      <w:pPr>
        <w:pStyle w:val="BodyText"/>
      </w:pPr>
      <w:r>
        <w:t xml:space="preserve">Bandy, L. K. et al. (2020)</w:t>
      </w:r>
      <w:r>
        <w:t xml:space="preserve"> </w:t>
      </w:r>
      <w:r>
        <w:t xml:space="preserve">‘</w:t>
      </w:r>
      <w:r>
        <w:t xml:space="preserve">Reductions in sugar sales from soft drinks in the UK from 2015 to 2018</w:t>
      </w:r>
      <w:r>
        <w:t xml:space="preserve">’</w:t>
      </w:r>
      <w:r>
        <w:t xml:space="preserve">.</w:t>
      </w:r>
      <w:r>
        <w:t xml:space="preserve"> </w:t>
      </w:r>
      <w:r>
        <w:rPr>
          <w:iCs/>
          <w:i/>
        </w:rPr>
        <w:t xml:space="preserve">BMC Medicine</w:t>
      </w:r>
      <w:r>
        <w:t xml:space="preserve">. Available at: https://doi.org/10.1186/s12916-019-1477-4.</w:t>
      </w:r>
    </w:p>
    <w:p>
      <w:pPr>
        <w:pStyle w:val="BodyText"/>
      </w:pPr>
      <w:r>
        <w:t xml:space="preserve">Bandy, L. and Scarborough, P. (2025)</w:t>
      </w:r>
      <w:r>
        <w:t xml:space="preserve"> </w:t>
      </w:r>
      <w:r>
        <w:t xml:space="preserve">‘</w:t>
      </w:r>
      <w:r>
        <w:t xml:space="preserve">Changes to UK soft drinks tax are a missed opportunity for public health</w:t>
      </w:r>
      <w:r>
        <w:t xml:space="preserve">’</w:t>
      </w:r>
      <w:r>
        <w:t xml:space="preserve">.</w:t>
      </w:r>
      <w:r>
        <w:t xml:space="preserve"> </w:t>
      </w:r>
      <w:r>
        <w:rPr>
          <w:iCs/>
          <w:i/>
        </w:rPr>
        <w:t xml:space="preserve">BMJ</w:t>
      </w:r>
      <w:r>
        <w:t xml:space="preserve">. Available at: https://doi.org/10.1136/bmj-2025-086062.</w:t>
      </w:r>
    </w:p>
    <w:p>
      <w:pPr>
        <w:pStyle w:val="BodyText"/>
      </w:pPr>
      <w:r>
        <w:t xml:space="preserve">Bridge, G., Flint, S. W. and Tench, R. (2020)</w:t>
      </w:r>
      <w:r>
        <w:t xml:space="preserve"> </w:t>
      </w:r>
      <w:r>
        <w:t xml:space="preserve">‘</w:t>
      </w:r>
      <w:r>
        <w:t xml:space="preserve">An exploration of the portrayal of the UK soft drinks industry levy in UK national newspapers</w:t>
      </w:r>
      <w:r>
        <w:t xml:space="preserve">’</w:t>
      </w:r>
      <w:r>
        <w:t xml:space="preserve">.</w:t>
      </w:r>
      <w:r>
        <w:t xml:space="preserve"> </w:t>
      </w:r>
      <w:r>
        <w:rPr>
          <w:iCs/>
          <w:i/>
        </w:rPr>
        <w:t xml:space="preserve">Public Health Nutrition</w:t>
      </w:r>
      <w:r>
        <w:t xml:space="preserve">. Available at: https://doi.org/10.1017/s1368980020000208.</w:t>
      </w:r>
    </w:p>
    <w:p>
      <w:pPr>
        <w:pStyle w:val="BodyText"/>
      </w:pPr>
      <w:r>
        <w:t xml:space="preserve">Cawley, J. and Frisvold, D. E. (2016)</w:t>
      </w:r>
      <w:r>
        <w:t xml:space="preserve"> </w:t>
      </w:r>
      <w:r>
        <w:t xml:space="preserve">‘</w:t>
      </w:r>
      <w:r>
        <w:t xml:space="preserve">The Pass‐Through of Taxes on Sugar‐Sweetened Beverages to Retail Prices: The Case of Berkeley, California</w:t>
      </w:r>
      <w:r>
        <w:t xml:space="preserve">’</w:t>
      </w:r>
      <w:r>
        <w:t xml:space="preserve">.</w:t>
      </w:r>
      <w:r>
        <w:t xml:space="preserve"> </w:t>
      </w:r>
      <w:r>
        <w:rPr>
          <w:iCs/>
          <w:i/>
        </w:rPr>
        <w:t xml:space="preserve">Journal of Policy Analysis and Management</w:t>
      </w:r>
      <w:r>
        <w:t xml:space="preserve">. Available at: https://doi.org/10.1002/pam.21960.</w:t>
      </w:r>
    </w:p>
    <w:p>
      <w:pPr>
        <w:pStyle w:val="BodyText"/>
      </w:pPr>
      <w:r>
        <w:t xml:space="preserve">Colchero, M. A. et al. (2016)</w:t>
      </w:r>
      <w:r>
        <w:t xml:space="preserve"> </w:t>
      </w:r>
      <w:r>
        <w:t xml:space="preserve">‘</w:t>
      </w:r>
      <w:r>
        <w:t xml:space="preserve">Beverage purchases from stores in Mexico under the excise tax on sugar sweetened beverages: observational study</w:t>
      </w:r>
      <w:r>
        <w:t xml:space="preserve">’</w:t>
      </w:r>
      <w:r>
        <w:t xml:space="preserve">.</w:t>
      </w:r>
      <w:r>
        <w:t xml:space="preserve"> </w:t>
      </w:r>
      <w:r>
        <w:rPr>
          <w:iCs/>
          <w:i/>
        </w:rPr>
        <w:t xml:space="preserve">BMJ</w:t>
      </w:r>
      <w:r>
        <w:t xml:space="preserve">. Available at: https://doi.org/10.1136/bmj.h6704.</w:t>
      </w:r>
    </w:p>
    <w:p>
      <w:pPr>
        <w:pStyle w:val="BodyText"/>
      </w:pPr>
      <w:r>
        <w:t xml:space="preserve">Di Novi, C. and Salari, P. (2026)</w:t>
      </w:r>
      <w:r>
        <w:t xml:space="preserve"> </w:t>
      </w:r>
      <w:r>
        <w:t xml:space="preserve">‘</w:t>
      </w:r>
      <w:r>
        <w:t xml:space="preserve">Shaping Soft Drinks: Sugar Taxes, Consumption, and Reformulation in Europe</w:t>
      </w:r>
      <w:r>
        <w:t xml:space="preserve">’</w:t>
      </w:r>
      <w:r>
        <w:t xml:space="preserve">. Available at: https://doi.org/10.2139/ssrn.6718350.</w:t>
      </w:r>
    </w:p>
    <w:p>
      <w:pPr>
        <w:pStyle w:val="BodyText"/>
      </w:pPr>
      <w:r>
        <w:t xml:space="preserve">Falbe, J. et al. (2016)</w:t>
      </w:r>
      <w:r>
        <w:t xml:space="preserve"> </w:t>
      </w:r>
      <w:r>
        <w:t xml:space="preserve">‘</w:t>
      </w:r>
      <w:r>
        <w:t xml:space="preserve">Impact of the Berkeley Excise Tax on Sugar-Sweetened Beverage Consumption</w:t>
      </w:r>
      <w:r>
        <w:t xml:space="preserve">’</w:t>
      </w:r>
      <w:r>
        <w:t xml:space="preserve">.</w:t>
      </w:r>
      <w:r>
        <w:t xml:space="preserve"> </w:t>
      </w:r>
      <w:r>
        <w:rPr>
          <w:iCs/>
          <w:i/>
        </w:rPr>
        <w:t xml:space="preserve">American Journal of Public Health</w:t>
      </w:r>
      <w:r>
        <w:t xml:space="preserve">. Available at: https://doi.org/10.2105/ajph.2016.303362.</w:t>
      </w:r>
    </w:p>
    <w:p>
      <w:pPr>
        <w:pStyle w:val="BodyText"/>
      </w:pPr>
      <w:r>
        <w:t xml:space="preserve">Penney, T. L. et al. (2023)</w:t>
      </w:r>
      <w:r>
        <w:t xml:space="preserve"> </w:t>
      </w:r>
      <w:r>
        <w:t xml:space="preserve">‘</w:t>
      </w:r>
      <w:r>
        <w:t xml:space="preserve">Reactions of industry and associated organisations to the announcement of the UK Soft Drinks Industry Levy: longitudinal thematic analysis of UK media articles, 2016-18</w:t>
      </w:r>
      <w:r>
        <w:t xml:space="preserve">’</w:t>
      </w:r>
      <w:r>
        <w:t xml:space="preserve">.</w:t>
      </w:r>
      <w:r>
        <w:t xml:space="preserve"> </w:t>
      </w:r>
      <w:r>
        <w:rPr>
          <w:iCs/>
          <w:i/>
        </w:rPr>
        <w:t xml:space="preserve">BMC Public Health</w:t>
      </w:r>
      <w:r>
        <w:t xml:space="preserve">. Available at: https://doi.org/10.1186/s12889-023-15190-0.</w:t>
      </w:r>
    </w:p>
    <w:p>
      <w:pPr>
        <w:pStyle w:val="BodyText"/>
      </w:pPr>
      <w:r>
        <w:t xml:space="preserve">Roberto, C. A. et al. (2019)</w:t>
      </w:r>
      <w:r>
        <w:t xml:space="preserve"> </w:t>
      </w:r>
      <w:r>
        <w:t xml:space="preserve">‘</w:t>
      </w:r>
      <w:r>
        <w:t xml:space="preserve">Association of a Beverage Tax on Sugar-Sweetened and Artificially Sweetened Beverages With Changes in Beverage Prices and Sales at Chain Retailers in a Large Urban Setting</w:t>
      </w:r>
      <w:r>
        <w:t xml:space="preserve">’</w:t>
      </w:r>
      <w:r>
        <w:t xml:space="preserve">.</w:t>
      </w:r>
      <w:r>
        <w:t xml:space="preserve"> </w:t>
      </w:r>
      <w:r>
        <w:rPr>
          <w:iCs/>
          <w:i/>
        </w:rPr>
        <w:t xml:space="preserve">JAMA</w:t>
      </w:r>
      <w:r>
        <w:t xml:space="preserve">. Available at: https://doi.org/10.1001/jama.2019.4249.</w:t>
      </w:r>
    </w:p>
    <w:p>
      <w:pPr>
        <w:pStyle w:val="BodyText"/>
      </w:pPr>
      <w:r>
        <w:t xml:space="preserve">Rogers, N. T. et al. (2023)</w:t>
      </w:r>
      <w:r>
        <w:t xml:space="preserve"> </w:t>
      </w:r>
      <w:r>
        <w:t xml:space="preserve">‘</w:t>
      </w:r>
      <w:r>
        <w:t xml:space="preserve">Associations between trajectories of obesity prevalence in English primary school children and the UK soft drinks industry levy: An interrupted time series analysis of surveillance data</w:t>
      </w:r>
      <w:r>
        <w:t xml:space="preserve">’</w:t>
      </w:r>
      <w:r>
        <w:t xml:space="preserve">.</w:t>
      </w:r>
      <w:r>
        <w:t xml:space="preserve"> </w:t>
      </w:r>
      <w:r>
        <w:rPr>
          <w:iCs/>
          <w:i/>
        </w:rPr>
        <w:t xml:space="preserve">PLOS Medicine</w:t>
      </w:r>
      <w:r>
        <w:t xml:space="preserve">. Available at: https://doi.org/10.1371/journal.pmed.1004160.</w:t>
      </w:r>
    </w:p>
    <w:p>
      <w:pPr>
        <w:pStyle w:val="BodyText"/>
      </w:pPr>
      <w:r>
        <w:t xml:space="preserve">Rogers, N. T. et al. (2025)</w:t>
      </w:r>
      <w:r>
        <w:t xml:space="preserve"> </w:t>
      </w:r>
      <w:r>
        <w:t xml:space="preserve">‘</w:t>
      </w:r>
      <w:r>
        <w:t xml:space="preserve">Changes in household purchasing of soft drinks following the UK soft drinks industry levy by household income and composition: controlled interrupted time series analysis, March 2014 to November 2019</w:t>
      </w:r>
      <w:r>
        <w:t xml:space="preserve">’</w:t>
      </w:r>
      <w:r>
        <w:t xml:space="preserve">.</w:t>
      </w:r>
      <w:r>
        <w:t xml:space="preserve"> </w:t>
      </w:r>
      <w:r>
        <w:rPr>
          <w:iCs/>
          <w:i/>
        </w:rPr>
        <w:t xml:space="preserve">BMJ Nutrition, Prevention &amp; Health</w:t>
      </w:r>
      <w:r>
        <w:t xml:space="preserve">. Available at: https://doi.org/10.1136/bmjnph-2024-000981.</w:t>
      </w:r>
    </w:p>
    <w:p>
      <w:pPr>
        <w:pStyle w:val="BodyText"/>
      </w:pPr>
      <w:r>
        <w:t xml:space="preserve">Scarborough, P. et al. (2020)</w:t>
      </w:r>
      <w:r>
        <w:t xml:space="preserve"> </w:t>
      </w:r>
      <w:r>
        <w:t xml:space="preserve">‘</w:t>
      </w:r>
      <w:r>
        <w:t xml:space="preserve">Impact of the announcement and implementation of the UK Soft Drinks Industry Levy on sugar content, price, product size and number of available soft drinks in the UK, 2015-19: A controlled interrupted time series analysis</w:t>
      </w:r>
      <w:r>
        <w:t xml:space="preserve">’</w:t>
      </w:r>
      <w:r>
        <w:t xml:space="preserve">.</w:t>
      </w:r>
      <w:r>
        <w:t xml:space="preserve"> </w:t>
      </w:r>
      <w:r>
        <w:rPr>
          <w:iCs/>
          <w:i/>
        </w:rPr>
        <w:t xml:space="preserve">PLOS Medicine</w:t>
      </w:r>
      <w:r>
        <w:t xml:space="preserve">. Available at: https://doi.org/10.1371/journal.pmed.1003025.</w:t>
      </w:r>
    </w:p>
    <w:p>
      <w:pPr>
        <w:pStyle w:val="BodyText"/>
      </w:pPr>
      <w:r>
        <w:t xml:space="preserve">Silver, L. D. et al. (2017)</w:t>
      </w:r>
      <w:r>
        <w:t xml:space="preserve"> </w:t>
      </w:r>
      <w:r>
        <w:t xml:space="preserve">‘</w:t>
      </w:r>
      <w:r>
        <w:t xml:space="preserve">Changes in prices, sales, consumer spending, and beverage consumption one year after a tax on sugar-sweetened beverages in Berkeley, California, US: A before-and-after study</w:t>
      </w:r>
      <w:r>
        <w:t xml:space="preserve">’</w:t>
      </w:r>
      <w:r>
        <w:t xml:space="preserve">.</w:t>
      </w:r>
      <w:r>
        <w:t xml:space="preserve"> </w:t>
      </w:r>
      <w:r>
        <w:rPr>
          <w:iCs/>
          <w:i/>
        </w:rPr>
        <w:t xml:space="preserve">PLOS Medicine</w:t>
      </w:r>
      <w:r>
        <w:t xml:space="preserve">. Available at: https://doi.org/10.1371/journal.pmed.1002283.</w:t>
      </w:r>
    </w:p>
    <w:p>
      <w:pPr>
        <w:pStyle w:val="BodyText"/>
      </w:pPr>
      <w:r>
        <w:t xml:space="preserve">Smith, R. (2023)</w:t>
      </w:r>
      <w:r>
        <w:t xml:space="preserve"> </w:t>
      </w:r>
      <w:r>
        <w:t xml:space="preserve">‘</w:t>
      </w:r>
      <w:r>
        <w:t xml:space="preserve">The Equity Impact of the Soft Drinks Industry Levy (SDIL) in the UK</w:t>
      </w:r>
      <w:r>
        <w:t xml:space="preserve">’</w:t>
      </w:r>
      <w:r>
        <w:t xml:space="preserve">.</w:t>
      </w:r>
      <w:r>
        <w:t xml:space="preserve"> </w:t>
      </w:r>
      <w:r>
        <w:rPr>
          <w:iCs/>
          <w:i/>
        </w:rPr>
        <w:t xml:space="preserve">Social Science &amp; Medicine</w:t>
      </w:r>
      <w:r>
        <w:t xml:space="preserve">. Available at: https://doi.org/10.1016/j.socscimed.2023.115917.</w:t>
      </w:r>
    </w:p>
    <w:p>
      <w:pPr>
        <w:pStyle w:val="BodyText"/>
      </w:pPr>
      <w:r>
        <w:t xml:space="preserve">Teng, A. M. et al. (2019)</w:t>
      </w:r>
      <w:r>
        <w:t xml:space="preserve"> </w:t>
      </w:r>
      <w:r>
        <w:t xml:space="preserve">‘</w:t>
      </w:r>
      <w:r>
        <w:t xml:space="preserve">Impact of sugar‐sweetened beverage taxes on purchases and dietary intake: Systematic review and meta‐analysis</w:t>
      </w:r>
      <w:r>
        <w:t xml:space="preserve">’</w:t>
      </w:r>
      <w:r>
        <w:t xml:space="preserve">.</w:t>
      </w:r>
      <w:r>
        <w:t xml:space="preserve"> </w:t>
      </w:r>
      <w:r>
        <w:rPr>
          <w:iCs/>
          <w:i/>
        </w:rPr>
        <w:t xml:space="preserve">Obesity Reviews</w:t>
      </w:r>
      <w:r>
        <w:t xml:space="preserve">. Available at: https://doi.org/10.1111/obr.12868.</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2026-09-16T08:45:40Z</dcterms:created>
  <dcterms:modified xsi:type="dcterms:W3CDTF">2026-09-16T08:45:40Z</dcterms:modified>
</cp:coreProperties>
</file>

<file path=docProps/custom.xml><?xml version="1.0" encoding="utf-8"?>
<Properties xmlns="http://schemas.openxmlformats.org/officeDocument/2006/custom-properties" xmlns:vt="http://schemas.openxmlformats.org/officeDocument/2006/docPropsVTypes"/>
</file>