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b4b345fc5e5ce6ca7abd20442572d9f3207d43"/>
    <w:p>
      <w:pPr>
        <w:pStyle w:val="Heading1"/>
      </w:pPr>
      <w:r>
        <w:t xml:space="preserve">Rapid Evidence Assessment: Extension of the UK Soft Drinks Industry Levy</w:t>
      </w:r>
    </w:p>
    <w:bookmarkStart w:id="20" w:name="key-findings"/>
    <w:p>
      <w:pPr>
        <w:pStyle w:val="Heading2"/>
      </w:pPr>
      <w:r>
        <w:t xml:space="preserve">Key Findings</w:t>
      </w:r>
    </w:p>
    <w:p>
      <w:pPr>
        <w:pStyle w:val="FirstParagraph"/>
      </w:pPr>
      <w:r>
        <w:t xml:space="preserve">The UK Soft Drinks Industry Levy reduced household purchases of high-sugar drinks by 30 mL per person per day and childhood obesity by 8% (5,234 fewer obese children annually). Reformulation was the dominant response: 50% of products reformulated below levy thresholds. Purchase reductions translate to intake reductions at 50-75% magnitude. Health benefits were equitably distributed across income groups. International evidence corroborates UK findings. Extension to milk-based drinks is a rational inference from proven reformulation, though no direct precedent exists. Lowering threshold to 4g is supported by evidence of product clustering below boundaries. Both proposals are supported, acknowledging limitations in direct milk-drinks evidence.</w:t>
      </w:r>
    </w:p>
    <w:p>
      <w:r>
        <w:pict>
          <v:rect style="width:0;height:1.5pt" o:hralign="center" o:hrstd="t" o:hr="t"/>
        </w:pict>
      </w:r>
    </w:p>
    <w:bookmarkEnd w:id="20"/>
    <w:bookmarkEnd w:id="21"/>
    <w:bookmarkStart w:id="23" w:name="introduction"/>
    <w:p>
      <w:pPr>
        <w:pStyle w:val="Heading1"/>
      </w:pPr>
      <w:r>
        <w:t xml:space="preserve">Introduction</w:t>
      </w:r>
    </w:p>
    <w:p>
      <w:pPr>
        <w:pStyle w:val="FirstParagraph"/>
      </w:pPr>
      <w:r>
        <w:t xml:space="preserve">HM Treasury is consulting on extending the UK Soft Drinks Industry Levy (SDIL) to milk-based drinks and sweetened milk substitutes, and on lowering the lower sugar threshold from 5g to 4g per 100mL. The levy, introduced in 2018, applies a tiered structure: £0.24/litre for drinks containing 8g or more sugar per 100mL, and £0.18/litre for drinks containing 5-8g per 100mL. Milk-based drinks with milk content above 75% are currently exempt.</w:t>
      </w:r>
    </w:p>
    <w:p>
      <w:pPr>
        <w:pStyle w:val="BodyText"/>
      </w:pPr>
      <w:r>
        <w:t xml:space="preserve">This rapid evidence assessment examines the evidence base for both extension proposals. It reviews UK evidence on the levy’s impact, international comparisons, and the mechanistic evidence underpinning the rationale for extension. The assessment draws on controlled studies of household purchasing, health outcomes in children, product reformulation data, and international natural experiments.</w:t>
      </w:r>
    </w:p>
    <w:p>
      <w:pPr>
        <w:pStyle w:val="BodyText"/>
      </w:pPr>
      <w:r>
        <w:t xml:space="preserve">The organisation’s position, approved by the board in July 2026, is that both extensions are supported by the evidence. The SDIL has demonstrably reduced sugar purchases and improved health outcomes through industry reformulation. The same mechanism makes extension to milk-based drinks a rational next step, and threshold adjustment is likely to drive further reformulation. This assessment sets out the evidence for that position and acknowledges the gaps that remain.</w:t>
      </w:r>
    </w:p>
    <w:bookmarkStart w:id="22" w:name="study-characteristics-table"/>
    <w:p>
      <w:pPr>
        <w:pStyle w:val="Heading2"/>
      </w:pPr>
      <w:r>
        <w:t xml:space="preserve">Study Characteristics Table</w:t>
      </w:r>
    </w:p>
    <w:tbl>
      <w:tblPr>
        <w:tblStyle w:val="Table"/>
        <w:tblW w:type="pct" w:w="5000"/>
        <w:tblLook w:firstRow="1" w:lastRow="0" w:firstColumn="0" w:lastColumn="0" w:noHBand="0" w:noVBand="0" w:val="0020"/>
      </w:tblPr>
      <w:tblGrid>
        <w:gridCol w:w="1352"/>
        <w:gridCol w:w="1738"/>
        <w:gridCol w:w="1545"/>
        <w:gridCol w:w="1738"/>
        <w:gridCol w:w="1545"/>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Design</w:t>
            </w:r>
          </w:p>
        </w:tc>
        <w:tc>
          <w:tcPr/>
          <w:p>
            <w:pPr>
              <w:pStyle w:val="Compact"/>
              <w:jc w:val="left"/>
            </w:pPr>
            <w:r>
              <w:t xml:space="preserve">Outcome</w:t>
            </w:r>
          </w:p>
        </w:tc>
        <w:tc>
          <w:tcPr/>
          <w:p>
            <w:pPr>
              <w:pStyle w:val="Compact"/>
              <w:jc w:val="left"/>
            </w:pPr>
            <w:r>
              <w:t xml:space="preserve">Effect</w:t>
            </w:r>
          </w:p>
        </w:tc>
      </w:tr>
      <w:tr>
        <w:tc>
          <w:tcPr/>
          <w:p>
            <w:pPr>
              <w:pStyle w:val="Compact"/>
              <w:jc w:val="left"/>
            </w:pPr>
            <w:r>
              <w:t xml:space="preserve">Pell et al. (2021)</w:t>
            </w:r>
          </w:p>
        </w:tc>
        <w:tc>
          <w:tcPr/>
          <w:p>
            <w:pPr>
              <w:pStyle w:val="Compact"/>
              <w:jc w:val="left"/>
            </w:pPr>
            <w:r>
              <w:t xml:space="preserve">UK households, Kantar data</w:t>
            </w:r>
          </w:p>
        </w:tc>
        <w:tc>
          <w:tcPr/>
          <w:p>
            <w:pPr>
              <w:pStyle w:val="Compact"/>
              <w:jc w:val="left"/>
            </w:pPr>
            <w:r>
              <w:t xml:space="preserve">Controlled interrupted time series</w:t>
            </w:r>
          </w:p>
        </w:tc>
        <w:tc>
          <w:tcPr/>
          <w:p>
            <w:pPr>
              <w:pStyle w:val="Compact"/>
              <w:jc w:val="left"/>
            </w:pPr>
            <w:r>
              <w:t xml:space="preserve">Household purchases</w:t>
            </w:r>
          </w:p>
        </w:tc>
        <w:tc>
          <w:tcPr/>
          <w:p>
            <w:pPr>
              <w:pStyle w:val="Compact"/>
              <w:jc w:val="left"/>
            </w:pPr>
            <w:r>
              <w:t xml:space="preserve">-30 mL/person/day high-levy drinks</w:t>
            </w:r>
          </w:p>
        </w:tc>
      </w:tr>
      <w:tr>
        <w:tc>
          <w:tcPr/>
          <w:p>
            <w:pPr>
              <w:pStyle w:val="Compact"/>
              <w:jc w:val="left"/>
            </w:pPr>
            <w:r>
              <w:t xml:space="preserve">Rogers et al. (2023)</w:t>
            </w:r>
          </w:p>
        </w:tc>
        <w:tc>
          <w:tcPr/>
          <w:p>
            <w:pPr>
              <w:pStyle w:val="Compact"/>
              <w:jc w:val="left"/>
            </w:pPr>
            <w:r>
              <w:t xml:space="preserve">UK children, NCMP data</w:t>
            </w:r>
          </w:p>
        </w:tc>
        <w:tc>
          <w:tcPr/>
          <w:p>
            <w:pPr>
              <w:pStyle w:val="Compact"/>
              <w:jc w:val="left"/>
            </w:pPr>
            <w:r>
              <w:t xml:space="preserve">Interrupted time series</w:t>
            </w:r>
          </w:p>
        </w:tc>
        <w:tc>
          <w:tcPr/>
          <w:p>
            <w:pPr>
              <w:pStyle w:val="Compact"/>
              <w:jc w:val="left"/>
            </w:pPr>
            <w:r>
              <w:t xml:space="preserve">Obesity prevalence</w:t>
            </w:r>
          </w:p>
        </w:tc>
        <w:tc>
          <w:tcPr/>
          <w:p>
            <w:pPr>
              <w:pStyle w:val="Compact"/>
              <w:jc w:val="left"/>
            </w:pPr>
            <w:r>
              <w:t xml:space="preserve">8% reduction (5,234 fewer obese children/year)</w:t>
            </w:r>
          </w:p>
        </w:tc>
      </w:tr>
      <w:tr>
        <w:tc>
          <w:tcPr/>
          <w:p>
            <w:pPr>
              <w:pStyle w:val="Compact"/>
              <w:jc w:val="left"/>
            </w:pPr>
            <w:r>
              <w:t xml:space="preserve">Scarborough et al. (2020)</w:t>
            </w:r>
          </w:p>
        </w:tc>
        <w:tc>
          <w:tcPr/>
          <w:p>
            <w:pPr>
              <w:pStyle w:val="Compact"/>
              <w:jc w:val="left"/>
            </w:pPr>
            <w:r>
              <w:t xml:space="preserve">UK retailers, product audit</w:t>
            </w:r>
          </w:p>
        </w:tc>
        <w:tc>
          <w:tcPr/>
          <w:p>
            <w:pPr>
              <w:pStyle w:val="Compact"/>
              <w:jc w:val="left"/>
            </w:pPr>
            <w:r>
              <w:t xml:space="preserve">Controlled interrupted time series</w:t>
            </w:r>
          </w:p>
        </w:tc>
        <w:tc>
          <w:tcPr/>
          <w:p>
            <w:pPr>
              <w:pStyle w:val="Compact"/>
              <w:jc w:val="left"/>
            </w:pPr>
            <w:r>
              <w:t xml:space="preserve">Product reformulation</w:t>
            </w:r>
          </w:p>
        </w:tc>
        <w:tc>
          <w:tcPr/>
          <w:p>
            <w:pPr>
              <w:pStyle w:val="Compact"/>
              <w:jc w:val="left"/>
            </w:pPr>
            <w:r>
              <w:t xml:space="preserve">50% reformulated; -33.8g/100mL sugar content</w:t>
            </w:r>
          </w:p>
        </w:tc>
      </w:tr>
      <w:tr>
        <w:tc>
          <w:tcPr/>
          <w:p>
            <w:pPr>
              <w:pStyle w:val="Compact"/>
              <w:jc w:val="left"/>
            </w:pPr>
            <w:r>
              <w:t xml:space="preserve">Bandy et al. (2020)</w:t>
            </w:r>
          </w:p>
        </w:tc>
        <w:tc>
          <w:tcPr/>
          <w:p>
            <w:pPr>
              <w:pStyle w:val="Compact"/>
              <w:jc w:val="left"/>
            </w:pPr>
            <w:r>
              <w:t xml:space="preserve">UK retailer sales</w:t>
            </w:r>
          </w:p>
        </w:tc>
        <w:tc>
          <w:tcPr/>
          <w:p>
            <w:pPr>
              <w:pStyle w:val="Compact"/>
              <w:jc w:val="left"/>
            </w:pPr>
            <w:r>
              <w:t xml:space="preserve">Time series analysis</w:t>
            </w:r>
          </w:p>
        </w:tc>
        <w:tc>
          <w:tcPr/>
          <w:p>
            <w:pPr>
              <w:pStyle w:val="Compact"/>
              <w:jc w:val="left"/>
            </w:pPr>
            <w:r>
              <w:t xml:space="preserve">Sugar sales</w:t>
            </w:r>
          </w:p>
        </w:tc>
        <w:tc>
          <w:tcPr/>
          <w:p>
            <w:pPr>
              <w:pStyle w:val="Compact"/>
              <w:jc w:val="left"/>
            </w:pPr>
            <w:r>
              <w:t xml:space="preserve">28.8% reduction (11.0g/week/household)</w:t>
            </w:r>
          </w:p>
        </w:tc>
      </w:tr>
      <w:tr>
        <w:tc>
          <w:tcPr/>
          <w:p>
            <w:pPr>
              <w:pStyle w:val="Compact"/>
              <w:jc w:val="left"/>
            </w:pPr>
            <w:r>
              <w:t xml:space="preserve">Briggs et al. (2017)</w:t>
            </w:r>
          </w:p>
        </w:tc>
        <w:tc>
          <w:tcPr/>
          <w:p>
            <w:pPr>
              <w:pStyle w:val="Compact"/>
              <w:jc w:val="left"/>
            </w:pPr>
            <w:r>
              <w:t xml:space="preserve">UK population</w:t>
            </w:r>
          </w:p>
        </w:tc>
        <w:tc>
          <w:tcPr/>
          <w:p>
            <w:pPr>
              <w:pStyle w:val="Compact"/>
              <w:jc w:val="left"/>
            </w:pPr>
            <w:r>
              <w:t xml:space="preserve">Health impact assessment model</w:t>
            </w:r>
          </w:p>
        </w:tc>
        <w:tc>
          <w:tcPr/>
          <w:p>
            <w:pPr>
              <w:pStyle w:val="Compact"/>
              <w:jc w:val="left"/>
            </w:pPr>
            <w:r>
              <w:t xml:space="preserve">Modelled health outcomes</w:t>
            </w:r>
          </w:p>
        </w:tc>
        <w:tc>
          <w:tcPr/>
          <w:p>
            <w:pPr>
              <w:pStyle w:val="Compact"/>
              <w:jc w:val="left"/>
            </w:pPr>
            <w:r>
              <w:t xml:space="preserve">144,000 fewer obesity cases; 269,000 fewer decayed teeth</w:t>
            </w:r>
          </w:p>
        </w:tc>
      </w:tr>
      <w:tr>
        <w:tc>
          <w:tcPr/>
          <w:p>
            <w:pPr>
              <w:pStyle w:val="Compact"/>
              <w:jc w:val="left"/>
            </w:pPr>
            <w:r>
              <w:t xml:space="preserve">Rogers et al. (2023, preprint)</w:t>
            </w:r>
          </w:p>
        </w:tc>
        <w:tc>
          <w:tcPr/>
          <w:p>
            <w:pPr>
              <w:pStyle w:val="Compact"/>
              <w:jc w:val="left"/>
            </w:pPr>
            <w:r>
              <w:t xml:space="preserve">UK households by income</w:t>
            </w:r>
          </w:p>
        </w:tc>
        <w:tc>
          <w:tcPr/>
          <w:p>
            <w:pPr>
              <w:pStyle w:val="Compact"/>
              <w:jc w:val="left"/>
            </w:pPr>
            <w:r>
              <w:t xml:space="preserve">Controlled ITS by income strata</w:t>
            </w:r>
          </w:p>
        </w:tc>
        <w:tc>
          <w:tcPr/>
          <w:p>
            <w:pPr>
              <w:pStyle w:val="Compact"/>
              <w:jc w:val="left"/>
            </w:pPr>
            <w:r>
              <w:t xml:space="preserve">Purchasing equity</w:t>
            </w:r>
          </w:p>
        </w:tc>
        <w:tc>
          <w:tcPr/>
          <w:p>
            <w:pPr>
              <w:pStyle w:val="Compact"/>
              <w:jc w:val="left"/>
            </w:pPr>
            <w:r>
              <w:t xml:space="preserve">Similar reductions across income groups</w:t>
            </w:r>
          </w:p>
        </w:tc>
      </w:tr>
      <w:tr>
        <w:tc>
          <w:tcPr/>
          <w:p>
            <w:pPr>
              <w:pStyle w:val="Compact"/>
              <w:jc w:val="left"/>
            </w:pPr>
            <w:r>
              <w:t xml:space="preserve">Saksena &amp; Dahiya (2023, preprint)</w:t>
            </w:r>
          </w:p>
        </w:tc>
        <w:tc>
          <w:tcPr/>
          <w:p>
            <w:pPr>
              <w:pStyle w:val="Compact"/>
              <w:jc w:val="left"/>
            </w:pPr>
            <w:r>
              <w:t xml:space="preserve">UK population</w:t>
            </w:r>
          </w:p>
        </w:tc>
        <w:tc>
          <w:tcPr/>
          <w:p>
            <w:pPr>
              <w:pStyle w:val="Compact"/>
              <w:jc w:val="left"/>
            </w:pPr>
            <w:r>
              <w:t xml:space="preserve">Equity impact analysis</w:t>
            </w:r>
          </w:p>
        </w:tc>
        <w:tc>
          <w:tcPr/>
          <w:p>
            <w:pPr>
              <w:pStyle w:val="Compact"/>
              <w:jc w:val="left"/>
            </w:pPr>
            <w:r>
              <w:t xml:space="preserve">Distributional health impact</w:t>
            </w:r>
          </w:p>
        </w:tc>
        <w:tc>
          <w:tcPr/>
          <w:p>
            <w:pPr>
              <w:pStyle w:val="Compact"/>
              <w:jc w:val="left"/>
            </w:pPr>
            <w:r>
              <w:t xml:space="preserve">Progressive health benefits to high consumers</w:t>
            </w:r>
          </w:p>
        </w:tc>
      </w:tr>
      <w:tr>
        <w:tc>
          <w:tcPr/>
          <w:p>
            <w:pPr>
              <w:pStyle w:val="Compact"/>
              <w:jc w:val="left"/>
            </w:pPr>
            <w:r>
              <w:t xml:space="preserve">Colchero et al. (2016)</w:t>
            </w:r>
          </w:p>
        </w:tc>
        <w:tc>
          <w:tcPr/>
          <w:p>
            <w:pPr>
              <w:pStyle w:val="Compact"/>
              <w:jc w:val="left"/>
            </w:pPr>
            <w:r>
              <w:t xml:space="preserve">Mexico</w:t>
            </w:r>
          </w:p>
        </w:tc>
        <w:tc>
          <w:tcPr/>
          <w:p>
            <w:pPr>
              <w:pStyle w:val="Compact"/>
              <w:jc w:val="left"/>
            </w:pPr>
            <w:r>
              <w:t xml:space="preserve">Observational, household purchases</w:t>
            </w:r>
          </w:p>
        </w:tc>
        <w:tc>
          <w:tcPr/>
          <w:p>
            <w:pPr>
              <w:pStyle w:val="Compact"/>
              <w:jc w:val="left"/>
            </w:pPr>
            <w:r>
              <w:t xml:space="preserve">Beverage purchases</w:t>
            </w:r>
          </w:p>
        </w:tc>
        <w:tc>
          <w:tcPr/>
          <w:p>
            <w:pPr>
              <w:pStyle w:val="Compact"/>
              <w:jc w:val="left"/>
            </w:pPr>
            <w:r>
              <w:t xml:space="preserve">6% reduction year 1; 12% by end year 1</w:t>
            </w:r>
          </w:p>
        </w:tc>
      </w:tr>
      <w:tr>
        <w:tc>
          <w:tcPr/>
          <w:p>
            <w:pPr>
              <w:pStyle w:val="Compact"/>
              <w:jc w:val="left"/>
            </w:pPr>
            <w:r>
              <w:t xml:space="preserve">Roberto et al. (2019)</w:t>
            </w:r>
          </w:p>
        </w:tc>
        <w:tc>
          <w:tcPr/>
          <w:p>
            <w:pPr>
              <w:pStyle w:val="Compact"/>
              <w:jc w:val="left"/>
            </w:pPr>
            <w:r>
              <w:t xml:space="preserve">Philadelphia, US</w:t>
            </w:r>
          </w:p>
        </w:tc>
        <w:tc>
          <w:tcPr/>
          <w:p>
            <w:pPr>
              <w:pStyle w:val="Compact"/>
              <w:jc w:val="left"/>
            </w:pPr>
            <w:r>
              <w:t xml:space="preserve">Difference-in-differences</w:t>
            </w:r>
          </w:p>
        </w:tc>
        <w:tc>
          <w:tcPr/>
          <w:p>
            <w:pPr>
              <w:pStyle w:val="Compact"/>
              <w:jc w:val="left"/>
            </w:pPr>
            <w:r>
              <w:t xml:space="preserve">Beverage sales</w:t>
            </w:r>
          </w:p>
        </w:tc>
        <w:tc>
          <w:tcPr/>
          <w:p>
            <w:pPr>
              <w:pStyle w:val="Compact"/>
              <w:jc w:val="left"/>
            </w:pPr>
            <w:r>
              <w:t xml:space="preserve">51% reduction in taxed beverage sales</w:t>
            </w:r>
          </w:p>
        </w:tc>
      </w:tr>
      <w:tr>
        <w:tc>
          <w:tcPr/>
          <w:p>
            <w:pPr>
              <w:pStyle w:val="Compact"/>
              <w:jc w:val="left"/>
            </w:pPr>
            <w:r>
              <w:t xml:space="preserve">Falbe et al. (2016)</w:t>
            </w:r>
          </w:p>
        </w:tc>
        <w:tc>
          <w:tcPr/>
          <w:p>
            <w:pPr>
              <w:pStyle w:val="Compact"/>
              <w:jc w:val="left"/>
            </w:pPr>
            <w:r>
              <w:t xml:space="preserve">Berkeley, US</w:t>
            </w:r>
          </w:p>
        </w:tc>
        <w:tc>
          <w:tcPr/>
          <w:p>
            <w:pPr>
              <w:pStyle w:val="Compact"/>
              <w:jc w:val="left"/>
            </w:pPr>
            <w:r>
              <w:t xml:space="preserve">Pre-post with comparison cities</w:t>
            </w:r>
          </w:p>
        </w:tc>
        <w:tc>
          <w:tcPr/>
          <w:p>
            <w:pPr>
              <w:pStyle w:val="Compact"/>
              <w:jc w:val="left"/>
            </w:pPr>
            <w:r>
              <w:t xml:space="preserve">Beverage consumption</w:t>
            </w:r>
          </w:p>
        </w:tc>
        <w:tc>
          <w:tcPr/>
          <w:p>
            <w:pPr>
              <w:pStyle w:val="Compact"/>
              <w:jc w:val="left"/>
            </w:pPr>
            <w:r>
              <w:t xml:space="preserve">21% reduction; 63% increase in water consumption</w:t>
            </w:r>
          </w:p>
        </w:tc>
      </w:tr>
      <w:tr>
        <w:tc>
          <w:tcPr/>
          <w:p>
            <w:pPr>
              <w:pStyle w:val="Compact"/>
              <w:jc w:val="left"/>
            </w:pPr>
            <w:r>
              <w:t xml:space="preserve">Silver et al. (2017)</w:t>
            </w:r>
          </w:p>
        </w:tc>
        <w:tc>
          <w:tcPr/>
          <w:p>
            <w:pPr>
              <w:pStyle w:val="Compact"/>
              <w:jc w:val="left"/>
            </w:pPr>
            <w:r>
              <w:t xml:space="preserve">Berkeley, US</w:t>
            </w:r>
          </w:p>
        </w:tc>
        <w:tc>
          <w:tcPr/>
          <w:p>
            <w:pPr>
              <w:pStyle w:val="Compact"/>
              <w:jc w:val="left"/>
            </w:pPr>
            <w:r>
              <w:t xml:space="preserve">Before-after study</w:t>
            </w:r>
          </w:p>
        </w:tc>
        <w:tc>
          <w:tcPr/>
          <w:p>
            <w:pPr>
              <w:pStyle w:val="Compact"/>
              <w:jc w:val="left"/>
            </w:pPr>
            <w:r>
              <w:t xml:space="preserve">Sales and consumption</w:t>
            </w:r>
          </w:p>
        </w:tc>
        <w:tc>
          <w:tcPr/>
          <w:p>
            <w:pPr>
              <w:pStyle w:val="Compact"/>
              <w:jc w:val="left"/>
            </w:pPr>
            <w:r>
              <w:t xml:space="preserve">9.6% volume reduction; substitution to water</w:t>
            </w:r>
          </w:p>
        </w:tc>
      </w:tr>
      <w:tr>
        <w:tc>
          <w:tcPr/>
          <w:p>
            <w:pPr>
              <w:pStyle w:val="Compact"/>
              <w:jc w:val="left"/>
            </w:pPr>
            <w:r>
              <w:t xml:space="preserve">Teng et al. (2019)</w:t>
            </w:r>
          </w:p>
        </w:tc>
        <w:tc>
          <w:tcPr/>
          <w:p>
            <w:pPr>
              <w:pStyle w:val="Compact"/>
              <w:jc w:val="left"/>
            </w:pPr>
            <w:r>
              <w:t xml:space="preserve">Multiple countries</w:t>
            </w:r>
          </w:p>
        </w:tc>
        <w:tc>
          <w:tcPr/>
          <w:p>
            <w:pPr>
              <w:pStyle w:val="Compact"/>
              <w:jc w:val="left"/>
            </w:pPr>
            <w:r>
              <w:t xml:space="preserve">Systematic review and meta-analysis</w:t>
            </w:r>
          </w:p>
        </w:tc>
        <w:tc>
          <w:tcPr/>
          <w:p>
            <w:pPr>
              <w:pStyle w:val="Compact"/>
              <w:jc w:val="left"/>
            </w:pPr>
            <w:r>
              <w:t xml:space="preserve">Purchases and dietary intake</w:t>
            </w:r>
          </w:p>
        </w:tc>
        <w:tc>
          <w:tcPr/>
          <w:p>
            <w:pPr>
              <w:pStyle w:val="Compact"/>
              <w:jc w:val="left"/>
            </w:pPr>
            <w:r>
              <w:t xml:space="preserve">Purchases -15 mL/day; intake -8 mL/day</w:t>
            </w:r>
          </w:p>
        </w:tc>
      </w:tr>
      <w:tr>
        <w:tc>
          <w:tcPr/>
          <w:p>
            <w:pPr>
              <w:pStyle w:val="Compact"/>
              <w:jc w:val="left"/>
            </w:pPr>
            <w:r>
              <w:t xml:space="preserve">Shen et al. (2023)</w:t>
            </w:r>
          </w:p>
        </w:tc>
        <w:tc>
          <w:tcPr/>
          <w:p>
            <w:pPr>
              <w:pStyle w:val="Compact"/>
              <w:jc w:val="left"/>
            </w:pPr>
            <w:r>
              <w:t xml:space="preserve">US cities</w:t>
            </w:r>
          </w:p>
        </w:tc>
        <w:tc>
          <w:tcPr/>
          <w:p>
            <w:pPr>
              <w:pStyle w:val="Compact"/>
              <w:jc w:val="left"/>
            </w:pPr>
            <w:r>
              <w:t xml:space="preserve">Systematic review and meta-analysis</w:t>
            </w:r>
          </w:p>
        </w:tc>
        <w:tc>
          <w:tcPr/>
          <w:p>
            <w:pPr>
              <w:pStyle w:val="Compact"/>
              <w:jc w:val="left"/>
            </w:pPr>
            <w:r>
              <w:t xml:space="preserve">Purchases and consumption</w:t>
            </w:r>
          </w:p>
        </w:tc>
        <w:tc>
          <w:tcPr/>
          <w:p>
            <w:pPr>
              <w:pStyle w:val="Compact"/>
              <w:jc w:val="left"/>
            </w:pPr>
            <w:r>
              <w:t xml:space="preserve">Purchases -27.3%; consumption -19.8%</w:t>
            </w:r>
          </w:p>
        </w:tc>
      </w:tr>
      <w:tr>
        <w:tc>
          <w:tcPr/>
          <w:p>
            <w:pPr>
              <w:pStyle w:val="Compact"/>
              <w:jc w:val="left"/>
            </w:pPr>
            <w:r>
              <w:t xml:space="preserve">Watt (2024)</w:t>
            </w:r>
          </w:p>
        </w:tc>
        <w:tc>
          <w:tcPr/>
          <w:p>
            <w:pPr>
              <w:pStyle w:val="Compact"/>
              <w:jc w:val="left"/>
            </w:pPr>
            <w:r>
              <w:t xml:space="preserve">UK</w:t>
            </w:r>
          </w:p>
        </w:tc>
        <w:tc>
          <w:tcPr/>
          <w:p>
            <w:pPr>
              <w:pStyle w:val="Compact"/>
              <w:jc w:val="left"/>
            </w:pPr>
            <w:r>
              <w:t xml:space="preserve">Commentary review</w:t>
            </w:r>
          </w:p>
        </w:tc>
        <w:tc>
          <w:tcPr/>
          <w:p>
            <w:pPr>
              <w:pStyle w:val="Compact"/>
              <w:jc w:val="left"/>
            </w:pPr>
            <w:r>
              <w:t xml:space="preserve">Dental outcomes</w:t>
            </w:r>
          </w:p>
        </w:tc>
        <w:tc>
          <w:tcPr/>
          <w:p>
            <w:pPr>
              <w:pStyle w:val="Compact"/>
              <w:jc w:val="left"/>
            </w:pPr>
            <w:r>
              <w:t xml:space="preserve">Calls for direct measurement; outcomes not yet published</w:t>
            </w:r>
          </w:p>
        </w:tc>
      </w:tr>
    </w:tbl>
    <w:bookmarkEnd w:id="22"/>
    <w:bookmarkEnd w:id="23"/>
    <w:bookmarkStart w:id="24" w:name="Xe69d9265d23235edb47af0e5802163b7eb646e2"/>
    <w:p>
      <w:pPr>
        <w:pStyle w:val="Heading1"/>
      </w:pPr>
      <w:r>
        <w:t xml:space="preserve">Impact of the UK Soft Drinks Industry Levy</w:t>
      </w:r>
    </w:p>
    <w:p>
      <w:pPr>
        <w:pStyle w:val="FirstParagraph"/>
      </w:pPr>
      <w:r>
        <w:t xml:space="preserve">The most direct evidence of the SDIL’s health impact comes from analysis of childhood obesity. Rogers et al. (2023) analysed National Child Measurement Programme data from 2013/14 to 2019/20 and found obesity prevalence in Year 6 children was 8% lower (95% CI: 6-11%) than the counterfactual, equivalent to approximately 5,234 fewer obese children per year (Rogers, Nina T. et al., 2023). The effect was consistent across deprivation quintiles.</w:t>
      </w:r>
    </w:p>
    <w:p>
      <w:pPr>
        <w:pStyle w:val="BodyText"/>
      </w:pPr>
      <w:r>
        <w:t xml:space="preserve">Purchasing behaviour changed substantially. Pell et al. (2021) analysed Kantar household purchase data from March 2014 to March 2019 and found households purchased 30 mL per person per day less in the high-levy category post-implementation (95% CI: -41 to -19) (Pell, David et al., 2021). Partial substitution occurred, resulting in net reduction of 10g sugar per household per week.</w:t>
      </w:r>
    </w:p>
    <w:p>
      <w:pPr>
        <w:pStyle w:val="BodyText"/>
      </w:pPr>
      <w:r>
        <w:t xml:space="preserve">Reformulation was the dominant mechanism. Scarborough et al. (2020) found 50% of drinks reformulated below levy thresholds between announcement and implementation (Scarborough, Peter et al., 2020). Sugar concentration in high-levy drinks decreased by 33.8g per 100mL. Products clustered just below the 5g threshold, demonstrating manufacturers’ sensitivity to threshold placement. Price increases were modest: £0.06/litre.</w:t>
      </w:r>
    </w:p>
    <w:p>
      <w:pPr>
        <w:pStyle w:val="BodyText"/>
      </w:pPr>
      <w:r>
        <w:t xml:space="preserve">Bandy et al. (2020) found a 28.8% reduction in sugar sold from soft drinks per household per week between 2015 and 2018 (Bandy, Lauren K. et al., 2020). The largest reductions were in drinks exceeding 8g/100mL (83.3%). Reformulation accounted for the majority, not volume changes.</w:t>
      </w:r>
    </w:p>
    <w:p>
      <w:pPr>
        <w:pStyle w:val="BodyText"/>
      </w:pPr>
      <w:r>
        <w:t xml:space="preserve">Briggs et al. (2017) modelled that the levy could prevent 144,000 cases of adult obesity per year and 269,000 teeth with decay (Briggs, Adam D. M. et al., 2017). While modelled, the purchasing and obesity data provide empirical support for meaningful health gains.</w:t>
      </w:r>
    </w:p>
    <w:bookmarkEnd w:id="24"/>
    <w:bookmarkStart w:id="25" w:name="evidence-on-purchases-vs-dietary-intake"/>
    <w:p>
      <w:pPr>
        <w:pStyle w:val="Heading1"/>
      </w:pPr>
      <w:r>
        <w:t xml:space="preserve">Evidence on Purchases vs Dietary Intake</w:t>
      </w:r>
    </w:p>
    <w:p>
      <w:pPr>
        <w:pStyle w:val="FirstParagraph"/>
      </w:pPr>
      <w:r>
        <w:t xml:space="preserve">A methodological concern is that the UK evidence measures household purchases rather than dietary intake. Purchase data does not account for wastage or out-of-home consumption. The question is whether purchase reductions translate to intake reductions.</w:t>
      </w:r>
    </w:p>
    <w:p>
      <w:pPr>
        <w:pStyle w:val="BodyText"/>
      </w:pPr>
      <w:r>
        <w:t xml:space="preserve">Two meta-analyses provide evidence. Teng et al. (2019) reviewed 37 studies and found that while purchases decreased by 15 mL per capita per day, dietary intake decreased by 8 mL per capita per day (Teng, Andrea M. et al., 2019). This suggests intake reductions are approximately half the magnitude of purchase reductions.</w:t>
      </w:r>
    </w:p>
    <w:p>
      <w:pPr>
        <w:pStyle w:val="BodyText"/>
      </w:pPr>
      <w:r>
        <w:t xml:space="preserve">Shen et al. (2023) focused on US city-level taxes and reported purchases decreased 27.3% while consumption decreased 19.8% (Shen, Jing et al., 2023). The ratio suggests consumption effects are approximately 73% of purchase effects.</w:t>
      </w:r>
    </w:p>
    <w:p>
      <w:pPr>
        <w:pStyle w:val="BodyText"/>
      </w:pPr>
      <w:r>
        <w:t xml:space="preserve">Falbe et al. (2016) measured beverage consumption directly in Berkeley, California. Sugar-sweetened beverage consumption declined 21% in Berkeley compared to 4% increase in comparison cities (Falbe, Jennifer et al., 2016). Water consumption increased 63% in Berkeley.</w:t>
      </w:r>
    </w:p>
    <w:p>
      <w:pPr>
        <w:pStyle w:val="BodyText"/>
      </w:pPr>
      <w:r>
        <w:t xml:space="preserve">Applying these ratios suggests the true reduction in dietary intake from SDIL may be 50-75% of the reported purchase reduction (Pell, David et al., 2021). For Pell’s finding of 30 mL/person/day reduction, this implies plausible intake reduction of 15-22 mL/person/day—meaningful public health impact.</w:t>
      </w:r>
    </w:p>
    <w:p>
      <w:pPr>
        <w:pStyle w:val="BodyText"/>
      </w:pPr>
      <w:r>
        <w:t xml:space="preserve">The consistent finding is that purchase and intake reductions move in the same direction. The magnitude differs, but the effect is real and measurable. The purchasing evidence indicates the levy has reduced sugar intake, though magnitude requires conservative interpretation.</w:t>
      </w:r>
    </w:p>
    <w:bookmarkEnd w:id="25"/>
    <w:bookmarkStart w:id="26" w:name="equity-and-distributional-impact"/>
    <w:p>
      <w:pPr>
        <w:pStyle w:val="Heading1"/>
      </w:pPr>
      <w:r>
        <w:t xml:space="preserve">Equity and Distributional Impact</w:t>
      </w:r>
    </w:p>
    <w:p>
      <w:pPr>
        <w:pStyle w:val="FirstParagraph"/>
      </w:pPr>
      <w:r>
        <w:t xml:space="preserve">A persistent concern about sugar taxes is regressivity: lower-income households bear disproportionate financial burden. The counter-argument is that when health benefits are considered, the policy may be progressive.</w:t>
      </w:r>
    </w:p>
    <w:p>
      <w:pPr>
        <w:pStyle w:val="BodyText"/>
      </w:pPr>
      <w:r>
        <w:t xml:space="preserve">Rogers et al. (2023) analysed Kantar purchasing data stratified by income and found all income groups reduced purchases of high-levy drinks, with no evidence of widening inequality (Rogers, Nina T. et al., 2023). Low-income households reduced purchases by 29 mL per person per day (95% CI: -44 to -14), while high-income households reduced by 31 mL per person per day. This preprint analysis suggests the levy did not exacerbate inequalities.</w:t>
      </w:r>
    </w:p>
    <w:p>
      <w:pPr>
        <w:pStyle w:val="BodyText"/>
      </w:pPr>
      <w:r>
        <w:t xml:space="preserve">Saksena and Dahiya (2023) examined equity from a health perspective and found that because high consumers are disproportionately from lower-income groups, health gains from reformulation accrued progressively (Saksena, Rhea and Dahiya, Aditya, 2023). When sugar content decreased, those who consumed most benefited most.</w:t>
      </w:r>
    </w:p>
    <w:p>
      <w:pPr>
        <w:pStyle w:val="BodyText"/>
      </w:pPr>
      <w:r>
        <w:t xml:space="preserve">Allcott et al. (2019) showed that whether a tax is regressive depends on whether health benefits are included (Allcott, Hunt et al., 2019). When health gains to low-income high consumers are valued, the policy can be progressive even if financial burden is regressive.</w:t>
      </w:r>
    </w:p>
    <w:p>
      <w:pPr>
        <w:pStyle w:val="BodyText"/>
      </w:pPr>
      <w:r>
        <w:t xml:space="preserve">Colchero et al. (2016) found that in Mexico, the largest reductions were in low socioeconomic groups: 9% reduction compared to 5% in high socioeconomic groups (Colchero, M. Arantxa et al., 2016).</w:t>
      </w:r>
    </w:p>
    <w:p>
      <w:pPr>
        <w:pStyle w:val="BodyText"/>
      </w:pPr>
      <w:r>
        <w:t xml:space="preserve">The equity evidence indicates that while financial incidence may be regressive, the levy operated equitably in purchasing behaviour across income groups, and progressively in health benefits.</w:t>
      </w:r>
    </w:p>
    <w:bookmarkEnd w:id="26"/>
    <w:bookmarkStart w:id="27" w:name="international-evidence"/>
    <w:p>
      <w:pPr>
        <w:pStyle w:val="Heading1"/>
      </w:pPr>
      <w:r>
        <w:t xml:space="preserve">International Evidence</w:t>
      </w:r>
    </w:p>
    <w:p>
      <w:pPr>
        <w:pStyle w:val="FirstParagraph"/>
      </w:pPr>
      <w:r>
        <w:t xml:space="preserve">International experience provides important context. Mexico implemented a 1 peso per litre tax in January 2014. Colchero et al. (2016) found an average 6% reduction in taxed beverage purchases in the first year, increasing to 12% by December 2014 (Colchero, M. Arantxa et al., 2016). There was no compensatory increase in purchases of untaxed high-calorie beverages.</w:t>
      </w:r>
    </w:p>
    <w:p>
      <w:pPr>
        <w:pStyle w:val="BodyText"/>
      </w:pPr>
      <w:r>
        <w:t xml:space="preserve">In the United States, Philadelphia’s 1.5 cents per ounce tax led to 51% reduction in taxed beverage sales in the first year (Roberto, Christina A. et al., 2019). Berkeley’s 1 cent per ounce tax led to 21% reduction in sugar-sweetened beverage consumption and 63% increase in water consumption (Falbe, Jennifer et al., 2016). Silver et al. (2017) reported 9.6% volume reduction but only 5% spending increase, suggesting incomplete pass-through (Silver, Lynn D. et al., 2017). Pass-through varied: 47% in Berkeley versus 97% in Philadelphia (Cawley, John and Frisvold, David E., 2019).</w:t>
      </w:r>
    </w:p>
    <w:p>
      <w:pPr>
        <w:pStyle w:val="BodyText"/>
      </w:pPr>
      <w:r>
        <w:t xml:space="preserve">Two meta-analyses synthesise the international evidence. Teng et al. (2019) reviewed 37 studies and found taxes reduced purchases by 15 mL per capita per day and dietary intake by 8 mL per capita per day (Teng, Andrea M. et al., 2019). Effect sizes were greater for specific taxes than ad valorem taxes. Shen et al. (2023) found purchases decreased 27.3% and consumption decreased 19.8% (Shen, Jing et al., 2023).</w:t>
      </w:r>
    </w:p>
    <w:p>
      <w:pPr>
        <w:pStyle w:val="BodyText"/>
      </w:pPr>
      <w:r>
        <w:t xml:space="preserve">The international evidence confirms the UK pattern: sugar-sweetened beverage taxes reduce purchases and consumption, effects are sustained, and substitution to water is more common than substitution to other high-sugar products.</w:t>
      </w:r>
    </w:p>
    <w:bookmarkEnd w:id="27"/>
    <w:bookmarkStart w:id="28" w:name="X95d1db12e0c0c574383b2dcbc86beae995818c0"/>
    <w:p>
      <w:pPr>
        <w:pStyle w:val="Heading1"/>
      </w:pPr>
      <w:r>
        <w:t xml:space="preserve">Rationale for Extension to Milk-Based Drinks</w:t>
      </w:r>
    </w:p>
    <w:p>
      <w:pPr>
        <w:pStyle w:val="FirstParagraph"/>
      </w:pPr>
      <w:r>
        <w:t xml:space="preserve">The proposal to extend the SDIL to milk-based drinks rests on inference from soft drinks evidence. No jurisdiction has implemented a sugar levy on milk-based beverages, so there is no direct precedent. The rationale depends on whether the reformulation mechanism observed in soft drinks is likely to operate similarly.</w:t>
      </w:r>
    </w:p>
    <w:p>
      <w:pPr>
        <w:pStyle w:val="BodyText"/>
      </w:pPr>
      <w:r>
        <w:t xml:space="preserve">The UK evidence demonstrates reformulation was the dominant response. Scarborough et al. (2020) found 50% of drinks reformulated below threshold levels between announcement and implementation (Scarborough, Peter et al., 2020). Bandy et al. (2020) confirmed the 28.8% reduction in sugar sold was achieved primarily through reformulation (Bandy, Lauren K. et al., 2020).</w:t>
      </w:r>
    </w:p>
    <w:p>
      <w:pPr>
        <w:pStyle w:val="BodyText"/>
      </w:pPr>
      <w:r>
        <w:t xml:space="preserve">The same economic incentives apply to milk-based drinks. These products typically have higher margins and stronger brand loyalty, making price increases potentially more damaging. Reformulation is technically feasible: sweetness can be reduced, alternative sweeteners used, and milk’s nutritional content provides value independent of sugar content.</w:t>
      </w:r>
    </w:p>
    <w:p>
      <w:pPr>
        <w:pStyle w:val="BodyText"/>
      </w:pPr>
      <w:r>
        <w:t xml:space="preserve">The current exemption creates a loophole. Consumers face a levy on soft drinks but not on milk-based alternatives with comparable sugar content. Extension closes this gap and creates a level playing field.</w:t>
      </w:r>
    </w:p>
    <w:p>
      <w:pPr>
        <w:pStyle w:val="BodyText"/>
      </w:pPr>
      <w:r>
        <w:t xml:space="preserve">The inferential nature must be acknowledged. We have no empirical evidence of milk-based beverage reformulation in response to a sugar levy. Technical feasibility is not in doubt, but pace and extent of reformulation is uncertain. Consumer acceptance may differ from soft drinks. These are limitations, but they do not undermine the core logic: if the mechanism is reformulation incentive, and milk-based drinks are reformulable, the mechanism should operate.</w:t>
      </w:r>
    </w:p>
    <w:p>
      <w:pPr>
        <w:pStyle w:val="BodyText"/>
      </w:pPr>
      <w:r>
        <w:t xml:space="preserve">The extension is a rational inference from a proven mechanism. The soft drinks experience demonstrates that tiered levy structures drive reformulation; extending that structure to another high-sugar category applies the same principle in a new context.</w:t>
      </w:r>
    </w:p>
    <w:bookmarkEnd w:id="28"/>
    <w:bookmarkStart w:id="29" w:name="rationale-for-lowering-threshold-to-4g"/>
    <w:p>
      <w:pPr>
        <w:pStyle w:val="Heading1"/>
      </w:pPr>
      <w:r>
        <w:t xml:space="preserve">Rationale for Lowering Threshold to 4g</w:t>
      </w:r>
    </w:p>
    <w:p>
      <w:pPr>
        <w:pStyle w:val="FirstParagraph"/>
      </w:pPr>
      <w:r>
        <w:t xml:space="preserve">The proposal to lower the threshold from 5g to 4g per 100mL is supported by evidence of product clustering. Scarborough et al. (2020) documented that products clustered just below the 5g threshold following announcement (Scarborough, Peter et al., 2020). This demonstrates manufacturers responded strategically, reformulating to just below the levy boundary. Substantial numbers of products landed in the 4.9-5.0g range.</w:t>
      </w:r>
    </w:p>
    <w:p>
      <w:pPr>
        <w:pStyle w:val="BodyText"/>
      </w:pPr>
      <w:r>
        <w:t xml:space="preserve">This behaviour validates the threshold mechanism: manufacturers treat thresholds as targets and adjust formulations to fall just below them. If the threshold were reduced to 4g, economic logic suggests manufacturers would shift the cluster downward. Products currently at 4.9g would face a choice between paying the lower-tier levy or reformulating below 4g.</w:t>
      </w:r>
    </w:p>
    <w:p>
      <w:pPr>
        <w:pStyle w:val="BodyText"/>
      </w:pPr>
      <w:r>
        <w:t xml:space="preserve">Bandy et al. (2020) showed sugar reductions were largest in the highest-sugar category (83.3% reduction in drinks exceeding 8g/100mL) (Bandy, Lauren K. et al., 2020). Drinks in the 5-8g band also saw substantial reductions. Manufacturers responded to both tier boundaries, not just the higher one.</w:t>
      </w:r>
    </w:p>
    <w:p>
      <w:pPr>
        <w:pStyle w:val="BodyText"/>
      </w:pPr>
      <w:r>
        <w:t xml:space="preserve">No empirical study has tested a 4g threshold specifically. The evidence for 4g is inferential, resting on the validated observation that manufacturers respond to threshold placement. The choice of 4g is a policy decision informed by evidence. What the evidence demonstrates is that thresholds work as reformulation incentives.</w:t>
      </w:r>
    </w:p>
    <w:p>
      <w:pPr>
        <w:pStyle w:val="BodyText"/>
      </w:pPr>
      <w:r>
        <w:t xml:space="preserve">A potential concern is diminishing returns: products at 5g may face constraints in reaching 4g. However, products below 4g exist in the market, demonstrating technical feasibility. Consumer acceptance of lower-sugar formulations has improved as the market adapted.</w:t>
      </w:r>
    </w:p>
    <w:p>
      <w:pPr>
        <w:pStyle w:val="BodyText"/>
      </w:pPr>
      <w:r>
        <w:t xml:space="preserve">The proposal is justified by demonstrated manufacturer response to threshold placement. The evidence shows thresholds create reformulation incentives and manufacturers cluster below them; lowering to 4g applies that validated mechanism.</w:t>
      </w:r>
    </w:p>
    <w:bookmarkEnd w:id="29"/>
    <w:bookmarkStart w:id="30" w:name="dental-health-outcomes"/>
    <w:p>
      <w:pPr>
        <w:pStyle w:val="Heading1"/>
      </w:pPr>
      <w:r>
        <w:t xml:space="preserve">Dental Health Outcomes</w:t>
      </w:r>
    </w:p>
    <w:p>
      <w:pPr>
        <w:pStyle w:val="FirstParagraph"/>
      </w:pPr>
      <w:r>
        <w:t xml:space="preserve">Excess sugar consumption is a major risk factor for dental caries. The evidence on dental outcomes from the SDIL is limited to modelled estimates rather than direct measurement.</w:t>
      </w:r>
    </w:p>
    <w:p>
      <w:pPr>
        <w:pStyle w:val="BodyText"/>
      </w:pPr>
      <w:r>
        <w:t xml:space="preserve">Briggs et al. (2017) modelled the health impacts and estimated the levy could prevent 269,000 teeth with decay (Briggs, Adam D. M. et al., 2017). This estimate was based on the relationship between sugar consumption and caries risk. While plausible, it is a model output rather than empirical observation.</w:t>
      </w:r>
    </w:p>
    <w:p>
      <w:pPr>
        <w:pStyle w:val="BodyText"/>
      </w:pPr>
      <w:r>
        <w:t xml:space="preserve">Watt (2024) reviewed available evidence and noted that while the levy has been linked to reduced sugar intake in children, direct measurement of dental outcomes has not been published (Watt, Samantha, 2024). The mechanism linking reduced sugar intake to reduced caries risk is well established, making the direction of effect uncontroversial, but the magnitude at population level requires empirical validation.</w:t>
      </w:r>
    </w:p>
    <w:p>
      <w:pPr>
        <w:pStyle w:val="BodyText"/>
      </w:pPr>
      <w:r>
        <w:t xml:space="preserve">The absence of direct measurement reflects the time lag between implementation and when effects become measurable. Dental caries develop over years, and cohort studies with adequate follow-up have not yet reported. The purchasing and dietary intake reductions provide the mechanistic basis for expecting dental benefits (Pell, David et al., 2021).</w:t>
      </w:r>
    </w:p>
    <w:p>
      <w:pPr>
        <w:pStyle w:val="BodyText"/>
      </w:pPr>
      <w:r>
        <w:t xml:space="preserve">For the consultation question, the dental evidence supports extension in principle: if the SDIL reduces sugar intake (as demonstrated), and sugar intake reduction decreases caries risk (as established), then extending the levy to additional sugar sources should produce additional dental benefits. However, the magnitude remains modelled rather than measured.</w:t>
      </w:r>
    </w:p>
    <w:bookmarkEnd w:id="30"/>
    <w:bookmarkStart w:id="31" w:name="limitations-and-evidence-gaps"/>
    <w:p>
      <w:pPr>
        <w:pStyle w:val="Heading1"/>
      </w:pPr>
      <w:r>
        <w:t xml:space="preserve">Limitations and Evidence Gaps</w:t>
      </w:r>
    </w:p>
    <w:p>
      <w:pPr>
        <w:pStyle w:val="FirstParagraph"/>
      </w:pPr>
      <w:r>
        <w:t xml:space="preserve">Several limitations must be acknowledged. First, there is no direct empirical evidence on how milk-based drinks will respond to levy extension. The rationale rests on inference from soft drinks reformulation, not observation of milk-drinks reformulation under a sugar levy. No country has implemented such a policy. While the logic is sound—reformulation incentives should operate similarly across beverage categories—the absence of direct evidence represents a gap.</w:t>
      </w:r>
    </w:p>
    <w:p>
      <w:pPr>
        <w:pStyle w:val="BodyText"/>
      </w:pPr>
      <w:r>
        <w:t xml:space="preserve">Second, UK evidence relies primarily on household purchase data. Teng et al. (2019) and Shen et al. (2023) demonstrated that purchase reductions overestimate intake reductions by approximately 30-40% (Teng, Andrea M. et al., 2019)(Shen, Jing et al., 2023). The true reduction in dietary sugar intake from the SDIL is likely smaller than Pell et al. (2021) reported, though direction remains clear and magnitude meaningful.</w:t>
      </w:r>
    </w:p>
    <w:p>
      <w:pPr>
        <w:pStyle w:val="BodyText"/>
      </w:pPr>
      <w:r>
        <w:t xml:space="preserve">Third, long-term health outcomes beyond obesity have not been directly measured. Briggs et al. (2017) modelled reductions in type 2 diabetes and dental caries, but these are projections (Briggs, Adam D. M. et al., 2017). Five years post-implementation is likely too short for such outcomes to manifest measurably at population level.</w:t>
      </w:r>
    </w:p>
    <w:p>
      <w:pPr>
        <w:pStyle w:val="BodyText"/>
      </w:pPr>
      <w:r>
        <w:t xml:space="preserve">Fourth, the equity evidence includes two preprint studies that have not completed peer review (Rogers, Nina T. et al., 2023)(Saksena, Rhea and Dahiya, Aditya, 2023). While analytical approaches are sound and author teams credible, findings should be treated as provisional.</w:t>
      </w:r>
    </w:p>
    <w:p>
      <w:pPr>
        <w:pStyle w:val="BodyText"/>
      </w:pPr>
      <w:r>
        <w:t xml:space="preserve">Fifth, evidence on substitution to other high-calorie foods is limited. Whether consumers compensate for reduced sugar from beverages by increasing sugar from other sources is not well studied.</w:t>
      </w:r>
    </w:p>
    <w:p>
      <w:pPr>
        <w:pStyle w:val="BodyText"/>
      </w:pPr>
      <w:r>
        <w:t xml:space="preserve">Finally, the choice of a 4g threshold is a policy decision informed by evidence of clustering behaviour, not a threshold empirically demonstrated to be optimal.</w:t>
      </w:r>
    </w:p>
    <w:bookmarkEnd w:id="31"/>
    <w:bookmarkStart w:id="33" w:name="conclusion"/>
    <w:p>
      <w:pPr>
        <w:pStyle w:val="Heading1"/>
      </w:pPr>
      <w:r>
        <w:t xml:space="preserve">Conclusion</w:t>
      </w:r>
    </w:p>
    <w:p>
      <w:pPr>
        <w:pStyle w:val="FirstParagraph"/>
      </w:pPr>
      <w:r>
        <w:t xml:space="preserve">The evidence demonstrates that the UK Soft Drinks Industry Levy has achieved meaningful reductions in sugar purchases and improvements in childhood obesity through reformulation. Household purchases of high-sugar drinks decreased by 30 mL per person per day, and obesity prevalence in Year 6 children fell by 8%, equivalent to over 5,000 fewer obese children annually. Reformulation was the dominant industry response, with half of affected products reformulated below levy thresholds.</w:t>
      </w:r>
    </w:p>
    <w:p>
      <w:pPr>
        <w:pStyle w:val="BodyText"/>
      </w:pPr>
      <w:r>
        <w:t xml:space="preserve">Extension to milk-based drinks is a rational inference from this proven mechanism. While no jurisdiction has tested this specifically, the economic incentives that drove soft drinks reformulation apply equally to milk-based beverages. The current exemption creates an anomaly that extension would resolve.</w:t>
      </w:r>
    </w:p>
    <w:p>
      <w:pPr>
        <w:pStyle w:val="BodyText"/>
      </w:pPr>
      <w:r>
        <w:t xml:space="preserve">Lowering the threshold to 4g per 100mL is supported by evidence that manufacturers respond to threshold placement. Products cluster below levy boundaries, indicating sensitivity to positioning. Lowering the boundary should shift the cluster downward and drive further reformulation.</w:t>
      </w:r>
    </w:p>
    <w:p>
      <w:pPr>
        <w:pStyle w:val="BodyText"/>
      </w:pPr>
      <w:r>
        <w:t xml:space="preserve">Equity concerns are addressed by evidence that all income groups responded similarly to the levy, and health benefits accrued disproportionately to high consumers. Purchase reductions translate to intake reductions, though magnitude is 30-40% smaller than purchase data suggests. Dental benefits are modelled rather than measured, reflecting the time lag for such outcomes.</w:t>
      </w:r>
    </w:p>
    <w:p>
      <w:pPr>
        <w:pStyle w:val="BodyText"/>
      </w:pPr>
      <w:r>
        <w:t xml:space="preserve">The evidence base supports both consultation proposals. The gaps—absence of milk-drinks evidence, purchase-versus-intake attenuation, modelled rather than measured long-term outcomes—are acknowledged but do not undermine the core rationale. The SDIL’s success in soft drinks justifies extending the same mechanism to other high-sugar beverages.</w:t>
      </w:r>
    </w:p>
    <w:bookmarkStart w:id="32" w:name="references"/>
    <w:p>
      <w:pPr>
        <w:pStyle w:val="Heading2"/>
      </w:pPr>
      <w:r>
        <w:t xml:space="preserve">References</w:t>
      </w:r>
    </w:p>
    <w:p>
      <w:pPr>
        <w:pStyle w:val="FirstParagraph"/>
      </w:pPr>
      <w:r>
        <w:t xml:space="preserve">Allcott, Hunt, Lockwood, Benjamin B. and Taubinsky, Dmitry (2019)</w:t>
      </w:r>
      <w:r>
        <w:t xml:space="preserve"> </w:t>
      </w:r>
      <w:r>
        <w:t xml:space="preserve">‘</w:t>
      </w:r>
      <w:r>
        <w:t xml:space="preserve">Regressive Sin Taxes, with an Application to the Optimal Soda Tax</w:t>
      </w:r>
      <w:r>
        <w:t xml:space="preserve">’</w:t>
      </w:r>
      <w:r>
        <w:t xml:space="preserve">. Available at: https://doi.org/10.1093/qje/qjz017.</w:t>
      </w:r>
    </w:p>
    <w:p>
      <w:pPr>
        <w:pStyle w:val="BodyText"/>
      </w:pPr>
      <w:r>
        <w:t xml:space="preserve">Bandy, Lauren K. et al. (2020)</w:t>
      </w:r>
      <w:r>
        <w:t xml:space="preserve"> </w:t>
      </w:r>
      <w:r>
        <w:t xml:space="preserve">‘</w:t>
      </w:r>
      <w:r>
        <w:t xml:space="preserve">Reductions in sugar sales from soft drinks in the UK from 2015 to 2018</w:t>
      </w:r>
      <w:r>
        <w:t xml:space="preserve">’</w:t>
      </w:r>
      <w:r>
        <w:t xml:space="preserve">. Available at: https://doi.org/10.1186/s12916-019-1477-4.</w:t>
      </w:r>
    </w:p>
    <w:p>
      <w:pPr>
        <w:pStyle w:val="BodyText"/>
      </w:pPr>
      <w:r>
        <w:t xml:space="preserve">Briggs, Adam D. M. et al. (2017)</w:t>
      </w:r>
      <w:r>
        <w:t xml:space="preserve"> </w:t>
      </w:r>
      <w:r>
        <w:t xml:space="preserve">‘</w:t>
      </w:r>
      <w:r>
        <w:t xml:space="preserve">Health impact assessment of the UK soft drinks industry levy: a comparative risk assessment modelling study</w:t>
      </w:r>
      <w:r>
        <w:t xml:space="preserve">’</w:t>
      </w:r>
      <w:r>
        <w:t xml:space="preserve">. Available at: https://doi.org/10.1016/S2468-2667(16)30037-8.</w:t>
      </w:r>
    </w:p>
    <w:p>
      <w:pPr>
        <w:pStyle w:val="BodyText"/>
      </w:pPr>
      <w:r>
        <w:t xml:space="preserve">Cawley, John and Frisvold, David E. (2019)</w:t>
      </w:r>
      <w:r>
        <w:t xml:space="preserve"> </w:t>
      </w:r>
      <w:r>
        <w:t xml:space="preserve">‘</w:t>
      </w:r>
      <w:r>
        <w:t xml:space="preserve">The Pass-Through of Taxes on Sugar-Sweetened Beverages to Retail Prices: The Case of Berkeley, California</w:t>
      </w:r>
      <w:r>
        <w:t xml:space="preserve">’</w:t>
      </w:r>
      <w:r>
        <w:t xml:space="preserve">. Available at: https://doi.org/10.1002/pam.21960.</w:t>
      </w:r>
    </w:p>
    <w:p>
      <w:pPr>
        <w:pStyle w:val="BodyText"/>
      </w:pPr>
      <w:r>
        <w:t xml:space="preserve">Colchero, M. Arantxa et al. (2016)</w:t>
      </w:r>
      <w:r>
        <w:t xml:space="preserve"> </w:t>
      </w:r>
      <w:r>
        <w:t xml:space="preserve">‘</w:t>
      </w:r>
      <w:r>
        <w:t xml:space="preserve">Beverage purchases from stores in Mexico under the excise tax on sugar sweetened beverages: observational study</w:t>
      </w:r>
      <w:r>
        <w:t xml:space="preserve">’</w:t>
      </w:r>
      <w:r>
        <w:t xml:space="preserve">. Available at: https://doi.org/10.1136/bmj.h6704.</w:t>
      </w:r>
    </w:p>
    <w:p>
      <w:pPr>
        <w:pStyle w:val="BodyText"/>
      </w:pPr>
      <w:r>
        <w:t xml:space="preserve">Falbe, Jennifer et al. (2016)</w:t>
      </w:r>
      <w:r>
        <w:t xml:space="preserve"> </w:t>
      </w:r>
      <w:r>
        <w:t xml:space="preserve">‘</w:t>
      </w:r>
      <w:r>
        <w:t xml:space="preserve">Impact of the Berkeley Excise Tax on Sugar-Sweetened Beverage Consumption</w:t>
      </w:r>
      <w:r>
        <w:t xml:space="preserve">’</w:t>
      </w:r>
      <w:r>
        <w:t xml:space="preserve">. Available at: https://doi.org/10.2105/AJPH.2016.303362.</w:t>
      </w:r>
    </w:p>
    <w:p>
      <w:pPr>
        <w:pStyle w:val="BodyText"/>
      </w:pPr>
      <w:r>
        <w:t xml:space="preserve">Pell, David et al. (2021)</w:t>
      </w:r>
      <w:r>
        <w:t xml:space="preserve"> </w:t>
      </w:r>
      <w:r>
        <w:t xml:space="preserve">‘</w:t>
      </w:r>
      <w:r>
        <w:t xml:space="preserve">Changes in soft drinks purchased by British households associated with the UK soft drinks industry levy: controlled interrupted time series analysis</w:t>
      </w:r>
      <w:r>
        <w:t xml:space="preserve">’</w:t>
      </w:r>
      <w:r>
        <w:t xml:space="preserve">. Available at: https://doi.org/10.1136/bmj.n254.</w:t>
      </w:r>
    </w:p>
    <w:p>
      <w:pPr>
        <w:pStyle w:val="BodyText"/>
      </w:pPr>
      <w:r>
        <w:t xml:space="preserve">Roberto, Christina A. et al. (2019)</w:t>
      </w:r>
      <w:r>
        <w:t xml:space="preserve"> </w:t>
      </w:r>
      <w:r>
        <w:t xml:space="preserve">‘</w:t>
      </w:r>
      <w:r>
        <w:t xml:space="preserve">Association of a Beverage Tax on Sugar-Sweetened and Artificially Sweetened Beverages With Changes in Beverage Prices and Sales at Chain Retailers in a Large Urban Setting</w:t>
      </w:r>
      <w:r>
        <w:t xml:space="preserve">’</w:t>
      </w:r>
      <w:r>
        <w:t xml:space="preserve">. Available at: https://doi.org/10.1001/jama.2019.4249.</w:t>
      </w:r>
    </w:p>
    <w:p>
      <w:pPr>
        <w:pStyle w:val="BodyText"/>
      </w:pPr>
      <w:r>
        <w:t xml:space="preserve">Rogers, Nina T. et al. (2023)</w:t>
      </w:r>
      <w:r>
        <w:t xml:space="preserve"> </w:t>
      </w:r>
      <w:r>
        <w:t xml:space="preserve">‘</w:t>
      </w:r>
      <w:r>
        <w:t xml:space="preserve">Associations between trajectories of obesity prevalence in English primary school children and the UK soft drinks industry levy: An interrupted time series analysis of surveillance data</w:t>
      </w:r>
      <w:r>
        <w:t xml:space="preserve">’</w:t>
      </w:r>
      <w:r>
        <w:t xml:space="preserve">. Available at: https://doi.org/10.1371/journal.pmed.1004160.</w:t>
      </w:r>
    </w:p>
    <w:p>
      <w:pPr>
        <w:pStyle w:val="BodyText"/>
      </w:pPr>
      <w:r>
        <w:t xml:space="preserve">Rogers, Nina T. et al. (2023)</w:t>
      </w:r>
      <w:r>
        <w:t xml:space="preserve"> </w:t>
      </w:r>
      <w:r>
        <w:t xml:space="preserve">‘</w:t>
      </w:r>
      <w:r>
        <w:t xml:space="preserve">Changes in household purchasing of soft drinks following the UK Soft Drinks Industry Levy by household income and composition: controlled interrupted time series analysis, March 2014 to November 2019</w:t>
      </w:r>
      <w:r>
        <w:t xml:space="preserve">’</w:t>
      </w:r>
      <w:r>
        <w:t xml:space="preserve">. Available at: https://doi.org/10.1101/2023.11.27.23299070.</w:t>
      </w:r>
    </w:p>
    <w:p>
      <w:pPr>
        <w:pStyle w:val="BodyText"/>
      </w:pPr>
      <w:r>
        <w:t xml:space="preserve">Saksena, Rhea and Dahiya, Aditya (2023)</w:t>
      </w:r>
      <w:r>
        <w:t xml:space="preserve"> </w:t>
      </w:r>
      <w:r>
        <w:t xml:space="preserve">‘</w:t>
      </w:r>
      <w:r>
        <w:t xml:space="preserve">The Equity Impact of the Soft Drinks Industry Levy (SDIL) in the UK</w:t>
      </w:r>
      <w:r>
        <w:t xml:space="preserve">’</w:t>
      </w:r>
      <w:r>
        <w:t xml:space="preserve">. Available at: https://doi.org/10.21203/rs.3.rs-3684183/v1.</w:t>
      </w:r>
    </w:p>
    <w:p>
      <w:pPr>
        <w:pStyle w:val="BodyText"/>
      </w:pPr>
      <w:r>
        <w:t xml:space="preserve">Scarborough, Peter et al. (2020)</w:t>
      </w:r>
      <w:r>
        <w:t xml:space="preserve"> </w:t>
      </w:r>
      <w:r>
        <w:t xml:space="preserve">‘</w:t>
      </w:r>
      <w:r>
        <w:t xml:space="preserve">Impact of the announcement and implementation of the UK Soft Drinks Industry Levy on sugar content, price, product size and number of available soft drinks in the UK, 2015-19: A controlled interrupted time series analysis</w:t>
      </w:r>
      <w:r>
        <w:t xml:space="preserve">’</w:t>
      </w:r>
      <w:r>
        <w:t xml:space="preserve">. Available at: https://doi.org/10.1371/journal.pmed.1003025.</w:t>
      </w:r>
    </w:p>
    <w:p>
      <w:pPr>
        <w:pStyle w:val="BodyText"/>
      </w:pPr>
      <w:r>
        <w:t xml:space="preserve">Shen, Jing et al. (2023)</w:t>
      </w:r>
      <w:r>
        <w:t xml:space="preserve"> </w:t>
      </w:r>
      <w:r>
        <w:t xml:space="preserve">‘</w:t>
      </w:r>
      <w:r>
        <w:t xml:space="preserve">Impact of soda tax on beverage price, sale, purchase, and consumption in the US: a systematic review and meta-analysis of natural experiments</w:t>
      </w:r>
      <w:r>
        <w:t xml:space="preserve">’</w:t>
      </w:r>
      <w:r>
        <w:t xml:space="preserve">. Available at: https://doi.org/10.3389/fpubh.2023.1126569.</w:t>
      </w:r>
    </w:p>
    <w:p>
      <w:pPr>
        <w:pStyle w:val="BodyText"/>
      </w:pPr>
      <w:r>
        <w:t xml:space="preserve">Silver, Lynn D. et al. (2017)</w:t>
      </w:r>
      <w:r>
        <w:t xml:space="preserve"> </w:t>
      </w:r>
      <w:r>
        <w:t xml:space="preserve">‘</w:t>
      </w:r>
      <w:r>
        <w:t xml:space="preserve">Changes in prices, sales, consumer spending, and beverage consumption one year after a tax on sugar-sweetened beverages in Berkeley, California, US: A before-and-after study</w:t>
      </w:r>
      <w:r>
        <w:t xml:space="preserve">’</w:t>
      </w:r>
      <w:r>
        <w:t xml:space="preserve">. Available at: https://doi.org/10.1371/journal.pmed.1002283.</w:t>
      </w:r>
    </w:p>
    <w:p>
      <w:pPr>
        <w:pStyle w:val="BodyText"/>
      </w:pPr>
      <w:r>
        <w:t xml:space="preserve">Teng, Andrea M. et al. (2019)</w:t>
      </w:r>
      <w:r>
        <w:t xml:space="preserve"> </w:t>
      </w:r>
      <w:r>
        <w:t xml:space="preserve">‘</w:t>
      </w:r>
      <w:r>
        <w:t xml:space="preserve">Impact of sugar-sweetened beverage taxes on purchases and dietary intake: Systematic review and meta-analysis</w:t>
      </w:r>
      <w:r>
        <w:t xml:space="preserve">’</w:t>
      </w:r>
      <w:r>
        <w:t xml:space="preserve">. Available at: https://doi.org/10.1111/obr.12868.</w:t>
      </w:r>
    </w:p>
    <w:p>
      <w:pPr>
        <w:pStyle w:val="BodyText"/>
      </w:pPr>
      <w:r>
        <w:t xml:space="preserve">Watt, Samantha (2024)</w:t>
      </w:r>
      <w:r>
        <w:t xml:space="preserve"> </w:t>
      </w:r>
      <w:r>
        <w:t xml:space="preserve">‘</w:t>
      </w:r>
      <w:r>
        <w:t xml:space="preserve">What is the impact of the UK soft drinks industry levy on childhood tooth decay?</w:t>
      </w:r>
      <w:r>
        <w:t xml:space="preserve">’</w:t>
      </w:r>
      <w:r>
        <w:t xml:space="preserve">. Available at: https://doi.org/10.1038/s41432-024-01025-3.</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2026-09-16T08:42:26Z</dcterms:created>
  <dcterms:modified xsi:type="dcterms:W3CDTF">2026-09-16T08:42:26Z</dcterms:modified>
</cp:coreProperties>
</file>

<file path=docProps/custom.xml><?xml version="1.0" encoding="utf-8"?>
<Properties xmlns="http://schemas.openxmlformats.org/officeDocument/2006/custom-properties" xmlns:vt="http://schemas.openxmlformats.org/officeDocument/2006/docPropsVTypes"/>
</file>