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63104a808d64b4f8048f3c207f9d2cc8185fa5"/>
    <w:p>
      <w:pPr>
        <w:pStyle w:val="Heading1"/>
      </w:pPr>
      <w:r>
        <w:t xml:space="preserve">Evidence Annex: Phone-Free Secondary Schools</w:t>
      </w:r>
    </w:p>
    <w:bookmarkEnd w:id="20"/>
    <w:bookmarkStart w:id="21" w:name="bottom-line"/>
    <w:p>
      <w:pPr>
        <w:pStyle w:val="Heading1"/>
      </w:pPr>
      <w:r>
        <w:t xml:space="preserve">Bottom line</w:t>
      </w:r>
    </w:p>
    <w:p>
      <w:pPr>
        <w:pStyle w:val="FirstParagraph"/>
      </w:pPr>
      <w:r>
        <w:t xml:space="preserve">Evidence from England, Sweden, and Norway demonstrates that phone-free school policies produce measurable academic gains—6.41 percentage points in English secondaries (Beland and Murphy, 2016), with strongest effects for lower-achieving pupils. Three independent quasi-experimental studies establish causality, not correlation. Wellbeing evidence is emerging: a 2025 study of 1,227 English pupils finds restrictive policies associated with better wellbeing and reduced social media use (Goodyear et al., 2025), and Norwegian data show improvements in both attainment and mental health (Abrahamsson, 2024).</w:t>
      </w:r>
    </w:p>
    <w:p>
      <w:pPr>
        <w:pStyle w:val="BodyText"/>
      </w:pPr>
      <w:r>
        <w:t xml:space="preserve">Implementation evidence lags behind outcome evidence: two major studies on lockable pouches are underway but unreported (Allcott et al., 2026) (John et al., 2026). Evidence does not yet cover pupils with SEND, sixth-form students, long-term persistence, or parental-contact concerns raised in consultations. These are real limitations unresolved by January’s timeline.</w:t>
      </w:r>
    </w:p>
    <w:bookmarkEnd w:id="21"/>
    <w:bookmarkStart w:id="25" w:name="attainment-evidence"/>
    <w:p>
      <w:pPr>
        <w:pStyle w:val="Heading1"/>
      </w:pPr>
      <w:r>
        <w:t xml:space="preserve">Attainment evidence</w:t>
      </w:r>
    </w:p>
    <w:bookmarkStart w:id="22" w:name="the-english-evidence"/>
    <w:p>
      <w:pPr>
        <w:pStyle w:val="Heading2"/>
      </w:pPr>
      <w:r>
        <w:t xml:space="preserve">The English evidence</w:t>
      </w:r>
    </w:p>
    <w:p>
      <w:pPr>
        <w:pStyle w:val="FirstParagraph"/>
      </w:pPr>
      <w:r>
        <w:t xml:space="preserve">Beland and Murphy’s 2016 study of English secondary schools across four cities found that prohibiting mobile phones during the school day raised test scores by 6.41 percentage points (Beland and Murphy, 2016). Using difference-in-differences design exploiting variation in ban timing, the methodology establishes causation rather than correlation. Low-achieving pupils showed the largest gains; high-achieving pupils experienced minimal impact. This pattern means phone-free policies narrow achievement gaps, with strongest benefits for pupils already struggling.</w:t>
      </w:r>
    </w:p>
    <w:bookmarkEnd w:id="22"/>
    <w:bookmarkStart w:id="23" w:name="replication-in-sweden-and-norway"/>
    <w:p>
      <w:pPr>
        <w:pStyle w:val="Heading2"/>
      </w:pPr>
      <w:r>
        <w:t xml:space="preserve">Replication in Sweden and Norway</w:t>
      </w:r>
    </w:p>
    <w:p>
      <w:pPr>
        <w:pStyle w:val="FirstParagraph"/>
      </w:pPr>
      <w:r>
        <w:t xml:space="preserve">The finding replicates independently in Scandinavia. Kessel and colleagues found Swedish mobile phone bans similarly improved academic outcomes using administrative registers (Kessel et al., 2020). Abrahamsson’s 2024 Norwegian analysis employed event-study design demonstrating smartphone bans improve student outcomes across measures (Abrahamsson, 2024). Consistency across three contexts—England, Sweden, Norway—strengthens causal inference. Independent tests in different educational systems.</w:t>
      </w:r>
    </w:p>
    <w:bookmarkEnd w:id="23"/>
    <w:bookmarkStart w:id="24" w:name="what-causal-means-for-policy"/>
    <w:p>
      <w:pPr>
        <w:pStyle w:val="Heading2"/>
      </w:pPr>
      <w:r>
        <w:t xml:space="preserve">What</w:t>
      </w:r>
      <w:r>
        <w:t xml:space="preserve"> </w:t>
      </w:r>
      <w:r>
        <w:t xml:space="preserve">“</w:t>
      </w:r>
      <w:r>
        <w:t xml:space="preserve">causal</w:t>
      </w:r>
      <w:r>
        <w:t xml:space="preserve">”</w:t>
      </w:r>
      <w:r>
        <w:t xml:space="preserve"> </w:t>
      </w:r>
      <w:r>
        <w:t xml:space="preserve">means for policy</w:t>
      </w:r>
    </w:p>
    <w:p>
      <w:pPr>
        <w:pStyle w:val="FirstParagraph"/>
      </w:pPr>
      <w:r>
        <w:t xml:space="preserve">These are not observational surveys where students using phones less perform better (which could reflect that high-performing students are more disciplined). All three studies exploit ban-implementation timing: schools adopting restrictions in different years provide natural comparison groups, isolating the policy effect itself. Difference-in-differences and event-study designs are established causal-inference methods in economics and education research, widely used where randomized trials are infeasible. Data sources—administrative exam records in England, population registers in Sweden and Norway—provide objective measures rather than self-reported outcomes. When three independent teams using comparable methods in different countries all point the same direction, the attainment claim is no longer provisional.</w:t>
      </w:r>
    </w:p>
    <w:bookmarkEnd w:id="24"/>
    <w:bookmarkEnd w:id="25"/>
    <w:bookmarkStart w:id="29" w:name="wellbeing-and-mental-health-evidence"/>
    <w:p>
      <w:pPr>
        <w:pStyle w:val="Heading1"/>
      </w:pPr>
      <w:r>
        <w:t xml:space="preserve">Wellbeing and mental health evidence</w:t>
      </w:r>
    </w:p>
    <w:bookmarkStart w:id="26" w:name="the-smart-schools-study"/>
    <w:p>
      <w:pPr>
        <w:pStyle w:val="Heading2"/>
      </w:pPr>
      <w:r>
        <w:t xml:space="preserve">The SMART Schools study</w:t>
      </w:r>
    </w:p>
    <w:p>
      <w:pPr>
        <w:pStyle w:val="FirstParagraph"/>
      </w:pPr>
      <w:r>
        <w:t xml:space="preserve">The largest recent UK wellbeing evidence comes from SMART Schools, published 2025 in</w:t>
      </w:r>
      <w:r>
        <w:t xml:space="preserve"> </w:t>
      </w:r>
      <w:r>
        <w:rPr>
          <w:iCs/>
          <w:i/>
        </w:rPr>
        <w:t xml:space="preserve">The Lancet Regional Health - Europe</w:t>
      </w:r>
      <w:r>
        <w:t xml:space="preserve"> </w:t>
      </w:r>
      <w:r>
        <w:t xml:space="preserve">(Goodyear et al., 2025). Goodyear and colleagues surveyed 1,227 pupils aged 12-15 across 30 English secondaries, comparing restrictive versus permissive phone policies. Students in restrictive-policy schools reported better mental wellbeing and lower social media use. The English context makes this highly policy-relevant.</w:t>
      </w:r>
    </w:p>
    <w:p>
      <w:pPr>
        <w:pStyle w:val="BodyText"/>
      </w:pPr>
      <w:r>
        <w:t xml:space="preserve">However, the design is cross-sectional, not causal. Schools with restrictive policies may differ systematically—perhaps adopting restrictions responding to existing problems, or having proactive leadership cultures affecting wellbeing through multiple channels. The association is clear; whether policy caused the improvement cannot be established from this design. For UK wellbeing evidence, SMART Schools is best available but lacks the causal architecture attainment literature achieved.</w:t>
      </w:r>
    </w:p>
    <w:bookmarkEnd w:id="26"/>
    <w:bookmarkStart w:id="27" w:name="dual-outcome-evidence-from-norway"/>
    <w:p>
      <w:pPr>
        <w:pStyle w:val="Heading2"/>
      </w:pPr>
      <w:r>
        <w:t xml:space="preserve">Dual-outcome evidence from Norway</w:t>
      </w:r>
    </w:p>
    <w:p>
      <w:pPr>
        <w:pStyle w:val="FirstParagraph"/>
      </w:pPr>
      <w:r>
        <w:t xml:space="preserve">Abrahamsson’s 2024 Norwegian study provides causal evidence that smartphone bans improve both attainment and mental health (Abrahamsson, 2024). Using event-study design with population registers, the analysis shows improvements across both domains simultaneously, suggesting mechanisms beyond distraction removal—also psychological pathways like reduced social comparison.</w:t>
      </w:r>
    </w:p>
    <w:p>
      <w:pPr>
        <w:pStyle w:val="BodyText"/>
      </w:pPr>
      <w:r>
        <w:t xml:space="preserve">Methodologically strong: event-study establishes causation, administrative data encompass entire national cohort. Limitation is geographical: Norwegian context differs from English. The finding strengthens wellbeing benefits’ plausibility but doesn’t yet provide UK-specific causal evidence.</w:t>
      </w:r>
    </w:p>
    <w:bookmarkEnd w:id="27"/>
    <w:bookmarkStart w:id="28" w:name="the-evidence-gap"/>
    <w:p>
      <w:pPr>
        <w:pStyle w:val="Heading2"/>
      </w:pPr>
      <w:r>
        <w:t xml:space="preserve">The evidence gap</w:t>
      </w:r>
    </w:p>
    <w:p>
      <w:pPr>
        <w:pStyle w:val="FirstParagraph"/>
      </w:pPr>
      <w:r>
        <w:t xml:space="preserve">Wellbeing evidence is methodologically weaker than attainment for English policy. Strongest UK evidence is observational; strongest causal evidence is Norwegian. No study combines both. This gap has narrowed but remains a likely critique. The implication is not that wellbeing benefits are implausible, but that evidence for them is less definitive than the attainment case.</w:t>
      </w:r>
    </w:p>
    <w:bookmarkEnd w:id="28"/>
    <w:bookmarkEnd w:id="29"/>
    <w:bookmarkStart w:id="30" w:name="how-strong-the-underlying-studies-are"/>
    <w:p>
      <w:pPr>
        <w:pStyle w:val="Heading1"/>
      </w:pPr>
      <w:r>
        <w:t xml:space="preserve">How strong the underlying studies are</w:t>
      </w:r>
    </w:p>
    <w:p>
      <w:pPr>
        <w:pStyle w:val="FirstParagraph"/>
      </w:pPr>
      <w:r>
        <w:t xml:space="preserve">Attainment studies use quasi-experimental methods exploiting naturally occurring variation in policy timing. When schools implement bans in different years, non-adopters serve as comparison groups. Difference-in-differences (Beland and Murphy) compare outcome trajectories before and after implementation across early and late adopters (Beland and Murphy, 2016). Event-study designs (Abrahamsson) map outcome changes around policy adoption (Abrahamsson, 2024). Both are standard causal-inference tools in policy evaluation, widely accepted where randomization is infeasible.</w:t>
      </w:r>
    </w:p>
    <w:p>
      <w:pPr>
        <w:pStyle w:val="BodyText"/>
      </w:pPr>
      <w:r>
        <w:t xml:space="preserve">The key inferential step rules out confounding factors—changes concurrent with bans but not caused by them. Comparing schools implementing at different times controls for time trends and jurisdiction-specific factors. If test scores rose nationally due to curriculum reforms, both early and late adopters would experience that rise; difference-in-differences isolates additional gain attributable to the ban itself. Not as definitive as randomized trial, but substantially stronger than observational correlation.</w:t>
      </w:r>
    </w:p>
    <w:p>
      <w:pPr>
        <w:pStyle w:val="BodyText"/>
      </w:pPr>
      <w:r>
        <w:t xml:space="preserve">All three studies draw on administrative data: exam board records in England, population registers in Sweden and Norway. Sample sizes are large or population-level, reducing sampling error. Outcome measures are objective test scores on high-stakes assessments rather than self-reported perceptions, eliminating social-desirability bias. The trade-off is reduced granularity: administrative data rarely include psychological detail surveys capture.</w:t>
      </w:r>
    </w:p>
    <w:p>
      <w:pPr>
        <w:pStyle w:val="BodyText"/>
      </w:pPr>
      <w:r>
        <w:t xml:space="preserve">The evidence establishes phone restrictions cause attainment gains in the three contexts studied using objective measures and credible causal designs. It does not prove effect size will be identical everywhere: implementation quality, baseline phone-use intensity, and school culture vary. Studies measure average treatment effects, not universal ones. Evidence also doesn’t establish long-term persistence—all three measure outcomes during or immediately after implementation, typically within two academic years. Whether gains persist, fade, or compound over longer periods remains empirically open. Evidence comes exclusively from high-trust, well-resourced systems (England, Sweden, Norway); generalizability to other contexts is assumed, not tested. For English secondaries, match between evidence and policy context is close, but implementation fidelity—whether schools actually achieve phone-free environments—is not directly measured in outcome studies.</w:t>
      </w:r>
    </w:p>
    <w:bookmarkEnd w:id="30"/>
    <w:bookmarkStart w:id="31" w:name="Xb61c1533049b6bcdf592a916e3412af4c9dd46b"/>
    <w:p>
      <w:pPr>
        <w:pStyle w:val="Heading1"/>
      </w:pPr>
      <w:r>
        <w:t xml:space="preserve">Implementation: enforcement, lockable pouches, and the policy-practice gap</w:t>
      </w:r>
    </w:p>
    <w:p>
      <w:pPr>
        <w:pStyle w:val="FirstParagraph"/>
      </w:pPr>
      <w:r>
        <w:t xml:space="preserve">Consultation responses from heads consistently raised a practical distinction: a written phone-free policy and an actually phone-free school differ. Enforcement mechanisms matter, yet outcome studies measure whether a school adopted a ban, not whether effectively implemented. The question heads ask—what works to enforce restrictions, what it requires of staff and budgets—sits at the gap between policy adoption and operational reality.</w:t>
      </w:r>
    </w:p>
    <w:p>
      <w:pPr>
        <w:pStyle w:val="BodyText"/>
      </w:pPr>
      <w:r>
        <w:t xml:space="preserve">Two major studies on lockable pouches are active but unreported (Allcott et al., 2026) (John et al., 2026). Both dated 2026, neither published results.</w:t>
      </w:r>
    </w:p>
    <w:p>
      <w:pPr>
        <w:pStyle w:val="BodyText"/>
      </w:pPr>
      <w:r>
        <w:t xml:space="preserve">This timing matters. January implementation precedes availability of rigorous enforcement-mechanism evidence. Lockable pouches—students place phones in locked fabric cases at school-day start, retaining possession without access—are being adopted in multiple jurisdictions, but effectiveness, cost, and operational requirements haven’t been systematically evaluated. Schools will implement at the evidence frontier on this dimension.</w:t>
      </w:r>
    </w:p>
    <w:p>
      <w:pPr>
        <w:pStyle w:val="BodyText"/>
      </w:pPr>
      <w:r>
        <w:t xml:space="preserve">Qualitative Swedish evidence documents divergence between written bans and classroom reality. Grigic Magnusson and colleagues examined complexities managing phone bans in digitalized schools—contexts where teachers simultaneously restrict personal phones and require tablets for instruction (Grigic Magnusson et al., 2023). Written policies often weren’t enforced consistently, teachers facing contradictions between phone bans and expected digital pedagogy. Challenge particularly acute in high-technology-integration schools, where distinguishing prohibited personal devices from required educational devices became continuous negotiation.</w:t>
      </w:r>
    </w:p>
    <w:p>
      <w:pPr>
        <w:pStyle w:val="BodyText"/>
      </w:pPr>
      <w:r>
        <w:t xml:space="preserve">A systematic review by Sheng and Lipscombe reinforces this, identifying policy implementation as recurring leadership challenge (Sheng and Lipscombe, 2024). Outcome studies measuring schools as</w:t>
      </w:r>
      <w:r>
        <w:t xml:space="preserve"> </w:t>
      </w:r>
      <w:r>
        <w:t xml:space="preserve">“</w:t>
      </w:r>
      <w:r>
        <w:t xml:space="preserve">having a ban</w:t>
      </w:r>
      <w:r>
        <w:t xml:space="preserve">”</w:t>
      </w:r>
      <w:r>
        <w:t xml:space="preserve"> </w:t>
      </w:r>
      <w:r>
        <w:t xml:space="preserve">likely measure variable implementation fidelity. Some achieve near-total phone absence; others have policies undermined by inconsistent enforcement. Measured effects are averages across implementation-quality ranges, and high-fidelity schools might see larger gains than average suggests.</w:t>
      </w:r>
    </w:p>
    <w:p>
      <w:pPr>
        <w:pStyle w:val="BodyText"/>
      </w:pPr>
      <w:r>
        <w:t xml:space="preserve">Critical implementation questions remain unanswered. No study quantifies staff time or costs, monetary cost of lockable pouches or storage, replacement procedures when devices are lost. Outcome studies assume bans are enforced but don’t verify implementation fidelity or document when enforcement breaks down. No study compares cost-effectiveness to alternatives like tutoring or class-size reduction. Schools and local authorities will design enforcement, allocate staff time, and budget for materials without completed implementation studies. This isn’t an argument against proceeding—attainment evidence is strong—but implementation will be partly provisional, informed by emerging practice rather than established evidence.</w:t>
      </w:r>
    </w:p>
    <w:bookmarkEnd w:id="31"/>
    <w:bookmarkStart w:id="32" w:name="X0662e766f986a2e267760b41522232ab35dae51"/>
    <w:p>
      <w:pPr>
        <w:pStyle w:val="Heading1"/>
      </w:pPr>
      <w:r>
        <w:t xml:space="preserve">Parental contact, safeguarding, and the evidence gap</w:t>
      </w:r>
    </w:p>
    <w:p>
      <w:pPr>
        <w:pStyle w:val="FirstParagraph"/>
      </w:pPr>
      <w:r>
        <w:t xml:space="preserve">The most common consultation concern is parents’ need to contact their child during the school day. Parents cite emergency communication, medical needs, family circumstances, and general reassurance. This reflects tension between phone-free environments and modern expectations of constant reachability. For many parents, the phone is not primarily educational but a safeguarding tool.</w:t>
      </w:r>
    </w:p>
    <w:p>
      <w:pPr>
        <w:pStyle w:val="BodyText"/>
      </w:pPr>
      <w:r>
        <w:t xml:space="preserve">Academic literature provides no evidence on this question. Studies reviewed measure attainment (Beland and Murphy, 2016) (Kessel et al., 2020) (Abrahamsson, 2024), wellbeing (Goodyear et al., 2025), and implementation complexity (Grigic Magnusson et al., 2023). None examines parental-contact concerns, emergency protocols, or how schools balance restrictions with safeguarding. This is a consultation-response gap where questions parents ask diverge from questions researchers investigated.</w:t>
      </w:r>
    </w:p>
    <w:p>
      <w:pPr>
        <w:pStyle w:val="BodyText"/>
      </w:pPr>
      <w:r>
        <w:t xml:space="preserve">Evidence absence doesn’t imply parental contact is unimportant or schools cannot address it. Literature prioritized outcome measurement over operational design. For policy, this shifts the question from</w:t>
      </w:r>
      <w:r>
        <w:t xml:space="preserve"> </w:t>
      </w:r>
      <w:r>
        <w:t xml:space="preserve">“</w:t>
      </w:r>
      <w:r>
        <w:t xml:space="preserve">what does evidence show?</w:t>
      </w:r>
      <w:r>
        <w:t xml:space="preserve">”</w:t>
      </w:r>
      <w:r>
        <w:t xml:space="preserve"> </w:t>
      </w:r>
      <w:r>
        <w:t xml:space="preserve">to</w:t>
      </w:r>
      <w:r>
        <w:t xml:space="preserve"> </w:t>
      </w:r>
      <w:r>
        <w:t xml:space="preserve">“</w:t>
      </w:r>
      <w:r>
        <w:t xml:space="preserve">how do schools design around it?</w:t>
      </w:r>
      <w:r>
        <w:t xml:space="preserve">”</w:t>
      </w:r>
    </w:p>
    <w:p>
      <w:pPr>
        <w:pStyle w:val="BodyText"/>
      </w:pPr>
      <w:r>
        <w:t xml:space="preserve">Phone-free policies and effective safeguarding aren’t mutually exclusive but require intentional design. Schools will need clear procedures: office phones available to students on request, established protocols for urgent parental communication reaching students quickly, exceptions for pupils with medical needs requiring phone access. These are operational requirements rather than outcome uncertainties. Evidence demonstrates restrictions improve attainment and suggest wellbeing benefits; it doesn’t address whether benefits come at safeguarding cost because no study tested that dimension. Guidance should cover emergency-communication protocols explicitly as core implementation component, not afterthought. The evidence gap means this element will be based on practice and professional judgment rather than research findings—a limitation to state openly.</w:t>
      </w:r>
    </w:p>
    <w:bookmarkEnd w:id="32"/>
    <w:bookmarkStart w:id="33" w:name="X81413e90860901a50f6a144c7c6cf4d2bd4e664"/>
    <w:p>
      <w:pPr>
        <w:pStyle w:val="Heading1"/>
      </w:pPr>
      <w:r>
        <w:t xml:space="preserve">What this evidence does not cover: limitations</w:t>
      </w:r>
    </w:p>
    <w:p>
      <w:pPr>
        <w:pStyle w:val="FirstParagraph"/>
      </w:pPr>
      <w:r>
        <w:t xml:space="preserve">No study examines whether phone-restriction effects differ for pupils with special educational needs. Beland and Murphy identify differential impacts by attainment level but not SEND status (Beland and Murphy, 2016). This matters because phones may serve accessibility functions (communication aids, anxiety management, medication reminders) or self-regulation purposes for some SEND pupils. Whether restrictions help, harm, or have no differential effect is empirically untested. Schools implementing bans will consider accommodations case-by-case, guided by professional judgment. SEND pupils constitute a substantial minority in English secondaries; policy affecting them should ideally rest on evidence specific to their circumstances.</w:t>
      </w:r>
    </w:p>
    <w:p>
      <w:pPr>
        <w:pStyle w:val="BodyText"/>
      </w:pPr>
      <w:r>
        <w:t xml:space="preserve">All three causal attainment studies focus on compulsory secondary (ages 11-16) (Beland and Murphy, 2016) (Kessel et al., 2020) (Abrahamsson, 2024). Sixth-form students (16-18) have greater autonomy. Whether findings extend to them is empirically open. Policy covering</w:t>
      </w:r>
      <w:r>
        <w:t xml:space="preserve"> </w:t>
      </w:r>
      <w:r>
        <w:t xml:space="preserve">“</w:t>
      </w:r>
      <w:r>
        <w:t xml:space="preserve">secondaries</w:t>
      </w:r>
      <w:r>
        <w:t xml:space="preserve">”</w:t>
      </w:r>
      <w:r>
        <w:t xml:space="preserve"> </w:t>
      </w:r>
      <w:r>
        <w:t xml:space="preserve">typically includes sixth forms, but evidence doesn’t. For January rollout, sixth-form decisions rest on extrapolation from younger cohorts.</w:t>
      </w:r>
    </w:p>
    <w:p>
      <w:pPr>
        <w:pStyle w:val="BodyText"/>
      </w:pPr>
      <w:r>
        <w:t xml:space="preserve">All outcome studies measure effects during or immediately after implementation, typically within two academic years. Whether attainment and wellbeing gains persist, fade, or strengthen over longer periods is unknown. Multiple trajectories are plausible. For a policy beginning January 2027, durability is untested. This doesn’t argue against implementation—early gains are valuable even if impermanent—but means long-term impact cannot be claimed on current evidence.</w:t>
      </w:r>
    </w:p>
    <w:p>
      <w:pPr>
        <w:pStyle w:val="BodyText"/>
      </w:pPr>
      <w:r>
        <w:t xml:space="preserve">No study quantifies resources required: staff time, monetary costs of pouches or storage, opportunity cost of leadership attention. Grigic Magnusson documents implementation complexity qualitatively (Grigic Magnusson et al., 2023) but doesn’t attach figures. More critically, no study compares cost-effectiveness to alternatives. If bans deliver 6.41 percentage point gain for given investment, how does that compare per pound to tutoring, smaller classes, or extended days? Education policymaking routinely considers cost-effectiveness, yet literature provides no basis for comparison. Schools and authorities will resource enforcement without clear evidence on required magnitude or returns versus other fund uses.</w:t>
      </w:r>
    </w:p>
    <w:p>
      <w:pPr>
        <w:pStyle w:val="BodyText"/>
      </w:pPr>
      <w:r>
        <w:t xml:space="preserve">All causal attainment evidence comes from England, Sweden, Norway—high-trust, well-resourced systems with strong administrative data infrastructure and high baseline compliance. Whether findings generalize to contexts with different authority norms, lower resourcing, or weaker institutional capacity is assumed, not tested. For English secondaries, this limitation is less acute: Beland and Murphy study is directly applicable, Swedish and Norwegian systems share structural features (Beland and Murphy, 2016). However, implementation cultures vary within England—urban schools with high mobility may face different challenges than stable suburban schools—and evidence doesn’t capture this heterogeneity.</w:t>
      </w:r>
    </w:p>
    <w:p>
      <w:pPr>
        <w:pStyle w:val="BodyText"/>
      </w:pPr>
      <w:r>
        <w:t xml:space="preserve">Finally, the evidence pool assembled here reports uniformly positive or neutral findings. Studies showing null or negative effects, if they exist, aren’t represented. This may reflect genuine consensus or selection bias in source identification for a policy context already considering restrictions.</w:t>
      </w:r>
    </w:p>
    <w:p>
      <w:pPr>
        <w:pStyle w:val="BodyText"/>
      </w:pPr>
      <w:r>
        <w:t xml:space="preserve">These limitations aren’t arguments against phone-free policies. Attainment evidence is strong, wellbeing evidence plausible, implementation challenges manageable even if not fully researched. However, they’re real gaps unresolved by January timeline. Policy decision proceeds on provisional evidence for several dimensions: SEND pupils, sixth-form students, long-term persistence, enforcement costs, cost-effectiveness all remain empirically open. Stating limitations openly is more credible than claiming unsupported comprehensiveness.</w:t>
      </w:r>
    </w:p>
    <w:bookmarkEnd w:id="33"/>
    <w:bookmarkStart w:id="35" w:name="Xf4ad81849309ba579f259bff34e79b0ed6d2298"/>
    <w:p>
      <w:pPr>
        <w:pStyle w:val="Heading1"/>
      </w:pPr>
      <w:r>
        <w:t xml:space="preserve">Why removing phones might work: the cognitive mechanism</w:t>
      </w:r>
    </w:p>
    <w:p>
      <w:pPr>
        <w:pStyle w:val="FirstParagraph"/>
      </w:pPr>
      <w:r>
        <w:t xml:space="preserve">Phone-free policies may improve attainment through a counterintuitive mechanism: mere phone presence, even switched off and face-down, reduces available cognitive capacity. Ward and colleagues’ 2017 experimental study demonstrated this</w:t>
      </w:r>
      <w:r>
        <w:t xml:space="preserve"> </w:t>
      </w:r>
      <w:r>
        <w:t xml:space="preserve">“</w:t>
      </w:r>
      <w:r>
        <w:t xml:space="preserve">brain drain</w:t>
      </w:r>
      <w:r>
        <w:t xml:space="preserve">”</w:t>
      </w:r>
      <w:r>
        <w:t xml:space="preserve"> </w:t>
      </w:r>
      <w:r>
        <w:t xml:space="preserve">effect using laboratory tasks measuring working memory and fluid intelligence (Ward et al., 2017). Participants randomly assigned to conditions with phones on desk, in bag, or in another room. Those with phones in another room performed significantly better on cognitive tasks than those with visible or bagged phones, despite all phones being switched off.</w:t>
      </w:r>
    </w:p>
    <w:p>
      <w:pPr>
        <w:pStyle w:val="BodyText"/>
      </w:pPr>
      <w:r>
        <w:t xml:space="preserve">The mechanism appears attentional: suppressing the urge to check one’s phone consumes cognitive resources, leaving fewer for the task at hand. The phone need not ring, vibrate, or be consciously attended; presence alone imposes a cognitive tax. Recent replication by Christodoulou and Roussos confirms presence-distraction, finding participants with phones in-room experienced greater mind-wandering during attention-demanding tasks (Christodoulou and Roussos, 2025). Ward’s work was conducted with adults in laboratory settings; whether presence-distraction operates with same magnitude in adolescents during classroom instruction is extrapolation, though plausible.</w:t>
      </w:r>
    </w:p>
    <w:p>
      <w:pPr>
        <w:pStyle w:val="BodyText"/>
      </w:pPr>
      <w:r>
        <w:t xml:space="preserve">For school policy, partial restrictions (phones in bags, silent) may be less effective than total removal because cognitive cost comes from presence itself, not active use or notifications. This experimental evidence provides plausible mechanism for attainment gains observed in real-world bans. If students’ working memory and attention are partially occupied by effort of not attending to phones, removing phones eliminates that cognitive drain, freeing mental resources for learning.</w:t>
      </w:r>
    </w:p>
    <w:bookmarkStart w:id="34" w:name="references"/>
    <w:p>
      <w:pPr>
        <w:pStyle w:val="Heading2"/>
      </w:pPr>
      <w:r>
        <w:t xml:space="preserve">References</w:t>
      </w:r>
    </w:p>
    <w:p>
      <w:pPr>
        <w:pStyle w:val="FirstParagraph"/>
      </w:pPr>
      <w:r>
        <w:t xml:space="preserve">Abrahamsson, S. (2024)</w:t>
      </w:r>
      <w:r>
        <w:t xml:space="preserve"> </w:t>
      </w:r>
      <w:r>
        <w:t xml:space="preserve">‘</w:t>
      </w:r>
      <w:r>
        <w:t xml:space="preserve">Smartphone Bans, Student Outcomes and Mental Health</w:t>
      </w:r>
      <w:r>
        <w:t xml:space="preserve">’</w:t>
      </w:r>
      <w:r>
        <w:t xml:space="preserve">.</w:t>
      </w:r>
      <w:r>
        <w:t xml:space="preserve"> </w:t>
      </w:r>
      <w:r>
        <w:rPr>
          <w:iCs/>
          <w:i/>
        </w:rPr>
        <w:t xml:space="preserve">SSRN Electronic Journal</w:t>
      </w:r>
      <w:r>
        <w:t xml:space="preserve">. Available at: https://doi.org/10.2139/ssrn.4735240.</w:t>
      </w:r>
    </w:p>
    <w:p>
      <w:pPr>
        <w:pStyle w:val="BodyText"/>
      </w:pPr>
      <w:r>
        <w:t xml:space="preserve">Allcott, H. et al. (2026)</w:t>
      </w:r>
      <w:r>
        <w:t xml:space="preserve"> </w:t>
      </w:r>
      <w:r>
        <w:t xml:space="preserve">‘</w:t>
      </w:r>
      <w:r>
        <w:t xml:space="preserve">The Effects of School Phone Bans: National Evidence from Lockable Pouches</w:t>
      </w:r>
      <w:r>
        <w:t xml:space="preserve">’</w:t>
      </w:r>
      <w:r>
        <w:t xml:space="preserve">.</w:t>
      </w:r>
      <w:r>
        <w:t xml:space="preserve"> </w:t>
      </w:r>
      <w:r>
        <w:rPr>
          <w:iCs/>
          <w:i/>
        </w:rPr>
        <w:t xml:space="preserve">NBER Working Paper Series</w:t>
      </w:r>
      <w:r>
        <w:t xml:space="preserve">. Available at: https://doi.org/10.3386/w35132.</w:t>
      </w:r>
    </w:p>
    <w:p>
      <w:pPr>
        <w:pStyle w:val="BodyText"/>
      </w:pPr>
      <w:r>
        <w:t xml:space="preserve">Beland, L. and Murphy, R. (2016)</w:t>
      </w:r>
      <w:r>
        <w:t xml:space="preserve"> </w:t>
      </w:r>
      <w:r>
        <w:t xml:space="preserve">‘</w:t>
      </w:r>
      <w:r>
        <w:t xml:space="preserve">Ill Communication: Technology, distraction &amp; student performance</w:t>
      </w:r>
      <w:r>
        <w:t xml:space="preserve">’</w:t>
      </w:r>
      <w:r>
        <w:t xml:space="preserve">.</w:t>
      </w:r>
      <w:r>
        <w:t xml:space="preserve"> </w:t>
      </w:r>
      <w:r>
        <w:rPr>
          <w:iCs/>
          <w:i/>
        </w:rPr>
        <w:t xml:space="preserve">Labour Economics</w:t>
      </w:r>
      <w:r>
        <w:t xml:space="preserve">. Available at: https://doi.org/10.1016/j.labeco.2016.04.004.</w:t>
      </w:r>
    </w:p>
    <w:p>
      <w:pPr>
        <w:pStyle w:val="BodyText"/>
      </w:pPr>
      <w:r>
        <w:t xml:space="preserve">Christodoulou, A. and Roussos, P. (2025)</w:t>
      </w:r>
      <w:r>
        <w:t xml:space="preserve"> </w:t>
      </w:r>
      <w:r>
        <w:t xml:space="preserve">‘</w:t>
      </w:r>
      <w:r>
        <w:t xml:space="preserve">Phone in the Room, Mind on the Roam: Investigating the Impact of Mobile Phone Presence on Distraction</w:t>
      </w:r>
      <w:r>
        <w:t xml:space="preserve">’</w:t>
      </w:r>
      <w:r>
        <w:t xml:space="preserve">.</w:t>
      </w:r>
      <w:r>
        <w:t xml:space="preserve"> </w:t>
      </w:r>
      <w:r>
        <w:rPr>
          <w:iCs/>
          <w:i/>
        </w:rPr>
        <w:t xml:space="preserve">European Journal of Investigation in Health, Psychology and Education</w:t>
      </w:r>
      <w:r>
        <w:t xml:space="preserve">. Available at: https://doi.org/10.3390/ejihpe15050074.</w:t>
      </w:r>
    </w:p>
    <w:p>
      <w:pPr>
        <w:pStyle w:val="BodyText"/>
      </w:pPr>
      <w:r>
        <w:t xml:space="preserve">Goodyear, V. A. et al. (2025)</w:t>
      </w:r>
      <w:r>
        <w:t xml:space="preserve"> </w:t>
      </w:r>
      <w:r>
        <w:t xml:space="preserve">‘</w:t>
      </w:r>
      <w:r>
        <w:t xml:space="preserve">School phone policies and their association with mental wellbeing, phone use, and social media use (SMART Schools): a cross-sectional observational study</w:t>
      </w:r>
      <w:r>
        <w:t xml:space="preserve">’</w:t>
      </w:r>
      <w:r>
        <w:t xml:space="preserve">.</w:t>
      </w:r>
      <w:r>
        <w:t xml:space="preserve"> </w:t>
      </w:r>
      <w:r>
        <w:rPr>
          <w:iCs/>
          <w:i/>
        </w:rPr>
        <w:t xml:space="preserve">The Lancet Regional Health - Europe</w:t>
      </w:r>
      <w:r>
        <w:t xml:space="preserve">. Available at: https://doi.org/10.1016/j.lanepe.2025.101211.</w:t>
      </w:r>
    </w:p>
    <w:p>
      <w:pPr>
        <w:pStyle w:val="BodyText"/>
      </w:pPr>
      <w:r>
        <w:t xml:space="preserve">Grigic Magnusson, A. et al. (2023)</w:t>
      </w:r>
      <w:r>
        <w:t xml:space="preserve"> </w:t>
      </w:r>
      <w:r>
        <w:t xml:space="preserve">‘</w:t>
      </w:r>
      <w:r>
        <w:t xml:space="preserve">Complexities of Managing a Mobile Phone Ban in the Digitalized Schools</w:t>
      </w:r>
      <w:r>
        <w:t xml:space="preserve">’</w:t>
      </w:r>
      <w:r>
        <w:t xml:space="preserve"> </w:t>
      </w:r>
      <w:r>
        <w:t xml:space="preserve">Classroom’.</w:t>
      </w:r>
      <w:r>
        <w:t xml:space="preserve"> </w:t>
      </w:r>
      <w:r>
        <w:rPr>
          <w:iCs/>
          <w:i/>
        </w:rPr>
        <w:t xml:space="preserve">Computers in the Schools</w:t>
      </w:r>
      <w:r>
        <w:t xml:space="preserve">. Available at: https://doi.org/10.1080/07380569.2023.2211062.</w:t>
      </w:r>
    </w:p>
    <w:p>
      <w:pPr>
        <w:pStyle w:val="BodyText"/>
      </w:pPr>
      <w:r>
        <w:t xml:space="preserve">John, J. et al. (2026)</w:t>
      </w:r>
      <w:r>
        <w:t xml:space="preserve"> </w:t>
      </w:r>
      <w:r>
        <w:t xml:space="preserve">‘</w:t>
      </w:r>
      <w:r>
        <w:t xml:space="preserve">Protocol for: Lockable Smartphone Pouches in UK Secondary Schools. A Cohort Study</w:t>
      </w:r>
      <w:r>
        <w:t xml:space="preserve">’</w:t>
      </w:r>
      <w:r>
        <w:t xml:space="preserve">.</w:t>
      </w:r>
      <w:r>
        <w:t xml:space="preserve"> </w:t>
      </w:r>
      <w:r>
        <w:rPr>
          <w:iCs/>
          <w:i/>
        </w:rPr>
        <w:t xml:space="preserve">openRxiv</w:t>
      </w:r>
      <w:r>
        <w:t xml:space="preserve">. Available at: https://doi.org/10.64898/2026.05.15.26353291.</w:t>
      </w:r>
    </w:p>
    <w:p>
      <w:pPr>
        <w:pStyle w:val="BodyText"/>
      </w:pPr>
      <w:r>
        <w:t xml:space="preserve">Kessel, D., Hardardottir, H. L. and Tyrefors, B. (2020)</w:t>
      </w:r>
      <w:r>
        <w:t xml:space="preserve"> </w:t>
      </w:r>
      <w:r>
        <w:t xml:space="preserve">‘</w:t>
      </w:r>
      <w:r>
        <w:t xml:space="preserve">The impact of banning mobile phones in Swedish secondary schools</w:t>
      </w:r>
      <w:r>
        <w:t xml:space="preserve">’</w:t>
      </w:r>
      <w:r>
        <w:t xml:space="preserve">.</w:t>
      </w:r>
      <w:r>
        <w:t xml:space="preserve"> </w:t>
      </w:r>
      <w:r>
        <w:rPr>
          <w:iCs/>
          <w:i/>
        </w:rPr>
        <w:t xml:space="preserve">Economics of Education Review</w:t>
      </w:r>
      <w:r>
        <w:t xml:space="preserve">. Available at: https://doi.org/10.1016/j.econedurev.2020.102009.</w:t>
      </w:r>
    </w:p>
    <w:p>
      <w:pPr>
        <w:pStyle w:val="BodyText"/>
      </w:pPr>
      <w:r>
        <w:t xml:space="preserve">Sheng, M. and Lipscombe, K. (2024)</w:t>
      </w:r>
      <w:r>
        <w:t xml:space="preserve"> </w:t>
      </w:r>
      <w:r>
        <w:t xml:space="preserve">‘</w:t>
      </w:r>
      <w:r>
        <w:t xml:space="preserve">An Exploration of Mobile Phone Policies and Associated Leadership Implications for School Leaders: A Systematic Review and Document Analysis</w:t>
      </w:r>
      <w:r>
        <w:t xml:space="preserve">’</w:t>
      </w:r>
      <w:r>
        <w:t xml:space="preserve">.</w:t>
      </w:r>
      <w:r>
        <w:t xml:space="preserve"> </w:t>
      </w:r>
      <w:r>
        <w:rPr>
          <w:iCs/>
          <w:i/>
        </w:rPr>
        <w:t xml:space="preserve">Leadership and Policy in Schools</w:t>
      </w:r>
      <w:r>
        <w:t xml:space="preserve">. Available at: https://doi.org/10.1080/15700763.2024.2424524.</w:t>
      </w:r>
    </w:p>
    <w:p>
      <w:pPr>
        <w:pStyle w:val="BodyText"/>
      </w:pPr>
      <w:r>
        <w:t xml:space="preserve">Ward, A. F. et al. (2017)</w:t>
      </w:r>
      <w:r>
        <w:t xml:space="preserve"> </w:t>
      </w:r>
      <w:r>
        <w:t xml:space="preserve">‘</w:t>
      </w:r>
      <w:r>
        <w:t xml:space="preserve">Brain Drain: The Mere Presence of One’s Own Smartphone Reduces Available Cognitive Capacity</w:t>
      </w:r>
      <w:r>
        <w:t xml:space="preserve">’</w:t>
      </w:r>
      <w:r>
        <w:t xml:space="preserve">.</w:t>
      </w:r>
      <w:r>
        <w:t xml:space="preserve"> </w:t>
      </w:r>
      <w:r>
        <w:rPr>
          <w:iCs/>
          <w:i/>
        </w:rPr>
        <w:t xml:space="preserve">Journal of the Association for Consumer Research</w:t>
      </w:r>
      <w:r>
        <w:t xml:space="preserve">. Available at: https://doi.org/10.1086/691462.</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2026-09-16T08:46:23Z</dcterms:created>
  <dcterms:modified xsi:type="dcterms:W3CDTF">2026-09-16T08:46:23Z</dcterms:modified>
</cp:coreProperties>
</file>

<file path=docProps/custom.xml><?xml version="1.0" encoding="utf-8"?>
<Properties xmlns="http://schemas.openxmlformats.org/officeDocument/2006/custom-properties" xmlns:vt="http://schemas.openxmlformats.org/officeDocument/2006/docPropsVTypes"/>
</file>