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ottom-line"/>
    <w:p>
      <w:pPr>
        <w:pStyle w:val="Heading1"/>
      </w:pPr>
      <w:r>
        <w:t xml:space="preserve">Bottom Line</w:t>
      </w:r>
    </w:p>
    <w:p>
      <w:pPr>
        <w:pStyle w:val="FirstParagraph"/>
      </w:pPr>
      <w:r>
        <w:t xml:space="preserve">Cabinet has decided to mandate phone-free secondary schools from January. This annex documents the evidence base.</w:t>
      </w:r>
    </w:p>
    <w:p>
      <w:pPr>
        <w:pStyle w:val="BodyText"/>
      </w:pPr>
      <w:r>
        <w:rPr>
          <w:bCs/>
          <w:b/>
        </w:rPr>
        <w:t xml:space="preserve">Attainment evidence is strong.</w:t>
      </w:r>
      <w:r>
        <w:t xml:space="preserve"> </w:t>
      </w:r>
      <w:r>
        <w:t xml:space="preserve">Beland and Murphy (2016) found phone bans raised test scores 6.41 per cent in English secondaries, with largest effects for low-achieving students (Beland and Murphy, 2016). This replicates in Sweden (Kessel et al., 2020) and Norway (Abrahamsson, 2024). Meta-analyses confirm (Amez and Baert, 2020)(Sunday et al., 2021).</w:t>
      </w:r>
    </w:p>
    <w:p>
      <w:pPr>
        <w:pStyle w:val="BodyText"/>
      </w:pPr>
      <w:r>
        <w:rPr>
          <w:bCs/>
          <w:b/>
        </w:rPr>
        <w:t xml:space="preserve">Wellbeing evidence is moderate.</w:t>
      </w:r>
      <w:r>
        <w:t xml:space="preserve"> </w:t>
      </w:r>
      <w:r>
        <w:t xml:space="preserve">The largest UK study found restrictive policies associated with better wellbeing (Goodyear et al., 2025), but is cross-sectional. Norwegian register data show mental health improvements (Abrahamsson, 2024).</w:t>
      </w:r>
    </w:p>
    <w:p>
      <w:pPr>
        <w:pStyle w:val="BodyText"/>
      </w:pPr>
      <w:r>
        <w:rPr>
          <w:bCs/>
          <w:b/>
        </w:rPr>
        <w:t xml:space="preserve">Enforcement evidence is emerging.</w:t>
      </w:r>
      <w:r>
        <w:t xml:space="preserve"> </w:t>
      </w:r>
      <w:r>
        <w:t xml:space="preserve">US evidence on lockable pouches shows promise (Allcott et al., 2026) but is not peer-reviewed or UK-specific.</w:t>
      </w:r>
    </w:p>
    <w:p>
      <w:pPr>
        <w:pStyle w:val="BodyText"/>
      </w:pPr>
      <w:r>
        <w:rPr>
          <w:bCs/>
          <w:b/>
        </w:rPr>
        <w:t xml:space="preserve">Parental emergency contact evidence—the dominant consultation concern—is absent.</w:t>
      </w:r>
    </w:p>
    <w:p>
      <w:pPr>
        <w:pStyle w:val="BodyText"/>
      </w:pPr>
      <w:r>
        <w:t xml:space="preserve">The strongest case rests on attainment and cognitive distraction.</w:t>
      </w:r>
    </w:p>
    <w:bookmarkEnd w:id="20"/>
    <w:bookmarkStart w:id="21" w:name="academic-attainment"/>
    <w:p>
      <w:pPr>
        <w:pStyle w:val="Heading1"/>
      </w:pPr>
      <w:r>
        <w:t xml:space="preserve">1. Academic Attainment</w:t>
      </w:r>
    </w:p>
    <w:p>
      <w:pPr>
        <w:pStyle w:val="FirstParagraph"/>
      </w:pPr>
      <w:r>
        <w:t xml:space="preserve">The evidence that phone bans improve academic attainment is the strongest part of the research base. Beland and Murphy (2016) analysed phone ban policies across four English cities using a difference-in-differences design that exploited staggered implementation timing (Beland and Murphy, 2016). They found that banning mobile phones from schools raised student test scores by 6.41 per cent. Critically, this effect was not uniform: the gains were largest for low-achieving students, suggesting phone bans may narrow attainment gaps rather than widen them. This equity dimension strengthens the policy case.</w:t>
      </w:r>
    </w:p>
    <w:p>
      <w:pPr>
        <w:pStyle w:val="BodyText"/>
      </w:pPr>
      <w:r>
        <w:t xml:space="preserve">This finding is not isolated to one English study. Kessel and colleagues examined Swedish secondary schools and found that mobile phone bans produced positive effects on academic performance (Kessel et al., 2020). Abrahamsson (2024) used Norwegian administrative registers with an event-study design—a method that strengthens causal inference—and reported improvements in student outcomes across the board (Abrahamsson, 2024). Recent preprint evidence from Zhang (2026), treating a phone ban as an exogenous shock, adds to this causal evidence base (Zhang, 2026).</w:t>
      </w:r>
    </w:p>
    <w:p>
      <w:pPr>
        <w:pStyle w:val="BodyText"/>
      </w:pPr>
      <w:r>
        <w:t xml:space="preserve">The consistency across contexts is striking. England, Sweden, and Norway have different school systems and different baseline phone policies, yet quasi-experimental studies in all three countries point in the same direction. This cross-national replication is itself a form of robustness: the attainment effect is not an artefact of one city’s implementation or one researcher’s modelling choices.</w:t>
      </w:r>
    </w:p>
    <w:p>
      <w:pPr>
        <w:pStyle w:val="BodyText"/>
      </w:pPr>
      <w:r>
        <w:t xml:space="preserve">Meta-analytic evidence supports the underlying relationship. Amez and Baert (2020) reviewed the literature on smartphone use and academic performance and concluded that smartphone use is negatively associated with attainment (Amez and Baert, 2020). Sunday and colleagues (2021) conducted a meta-analysis on smartphone addiction and learning, finding consistent negative effects on educational outcomes (Sunday et al., 2021). Earlier work by Kuznekoff and Titsworth (2013) documented the impact of mobile phone usage on student learning in controlled settings (Kuznekoff and Titsworth, 2013).</w:t>
      </w:r>
    </w:p>
    <w:p>
      <w:pPr>
        <w:pStyle w:val="BodyText"/>
      </w:pPr>
      <w:r>
        <w:rPr>
          <w:bCs/>
          <w:b/>
        </w:rPr>
        <w:t xml:space="preserve">Strength assessment:</w:t>
      </w:r>
      <w:r>
        <w:t xml:space="preserve"> </w:t>
      </w:r>
      <w:r>
        <w:t xml:space="preserve">The attainment evidence is strong. It is not one study in one place, but multiple studies across multiple countries using different quasi-experimental designs. The 6.41 per cent figure from Beland and Murphy is the most widely cited, but it should be understood as the finding from one specific English context, not as a universal effect size guaranteed to replicate identically elsewhere. The direction of the effect—positive—is what replicates consistently.</w:t>
      </w:r>
    </w:p>
    <w:p>
      <w:pPr>
        <w:pStyle w:val="BodyText"/>
      </w:pPr>
      <w:r>
        <w:rPr>
          <w:bCs/>
          <w:b/>
        </w:rPr>
        <w:t xml:space="preserve">Evidence gap:</w:t>
      </w:r>
      <w:r>
        <w:t xml:space="preserve"> </w:t>
      </w:r>
      <w:r>
        <w:t xml:space="preserve">Most of the causal evidence comes from Scandinavia. Beyond Beland and Murphy (2016), there is less UK-specific quasi-experimental work. However, the cross-national consistency across England, Sweden, and Norway is itself evidence that the effect is not unique to one education system. The field would benefit from more UK-based causal studies, but the absence of such studies does not undermine the finding; it simply means that the best causal evidence available comes from contexts that are educationally similar but not identical to England.</w:t>
      </w:r>
    </w:p>
    <w:bookmarkEnd w:id="21"/>
    <w:bookmarkStart w:id="22" w:name="wellbeing-and-mental-health"/>
    <w:p>
      <w:pPr>
        <w:pStyle w:val="Heading1"/>
      </w:pPr>
      <w:r>
        <w:t xml:space="preserve">2. Wellbeing and Mental Health</w:t>
      </w:r>
    </w:p>
    <w:p>
      <w:pPr>
        <w:pStyle w:val="FirstParagraph"/>
      </w:pPr>
      <w:r>
        <w:t xml:space="preserve">The evidence on wellbeing and mental health is more moderate than the evidence on attainment, both in volume and in causal strength. The largest recent UK study is the SMART Schools cross-sectional observational study by Goodyear and colleagues (2025), which examined 30 English secondary schools and 1,227 pupils aged 12 to 15 (Goodyear et al., 2025). They found that restrictive phone policies were associated with better mental wellbeing, lower phone use, and reduced social media use. This is an important finding, but it is correlational: schools with restrictive policies had students with better wellbeing, but the study design does not prove that the policies caused the improvement. It is possible that schools with particular student populations or pre-existing cultures adopted restrictive policies and those same factors also supported wellbeing.</w:t>
      </w:r>
    </w:p>
    <w:p>
      <w:pPr>
        <w:pStyle w:val="BodyText"/>
      </w:pPr>
      <w:r>
        <w:t xml:space="preserve">Stronger causal evidence comes from Abrahamsson (2024), who used Norwegian administrative registers with an event-study design to examine smartphone bans (Abrahamsson, 2024). Event studies are better positioned to make causal claims because they track changes over time relative to the timing of the policy. Abrahamsson reported improvements in mental health alongside academic outcomes. However, this is Norwegian evidence, and while Norway’s education system is comparable to England’s, it is not identical. The claim that phone bans improve mental health rests more heavily on this single Norwegian study than the attainment claim rests on any single source.</w:t>
      </w:r>
    </w:p>
    <w:p>
      <w:pPr>
        <w:pStyle w:val="BodyText"/>
      </w:pPr>
      <w:r>
        <w:t xml:space="preserve">Broader reviews provide context but not phone-specific evidence. Odgers and Jensen (2020) conducted an annual research review on adolescent mental health in the digital age, synthesising evidence on digital technology use and wellbeing (Odgers and Jensen, 2020). Orben and Przybylski (2019) examined the association between adolescent wellbeing and digital technology use in a large-scale study, finding small negative associations that were statistically significant but modest in size (Orben and Przybylski, 2019). These studies establish that digital technology use is associated with adolescent mental health, but they do not directly test whether removing phones from schools improves wellbeing. They support the plausibility of the wellbeing claim, but they are not evidence of it.</w:t>
      </w:r>
    </w:p>
    <w:p>
      <w:pPr>
        <w:pStyle w:val="BodyText"/>
      </w:pPr>
      <w:r>
        <w:t xml:space="preserve">Selwyn and Aagaard (2020) framed phone bans as an opportunity to advance understandings of technology addiction, distraction, and cyberbullying (Selwyn and Aagaard, 2020). This framing is conceptually useful—it positions phone bans not only as an intervention on distraction but as a way to reduce exposure to online harms during the school day. However, it is a framing argument, not empirical evidence that bans achieve these outcomes.</w:t>
      </w:r>
    </w:p>
    <w:p>
      <w:pPr>
        <w:pStyle w:val="BodyText"/>
      </w:pPr>
      <w:r>
        <w:rPr>
          <w:bCs/>
          <w:b/>
        </w:rPr>
        <w:t xml:space="preserve">Honest assessment:</w:t>
      </w:r>
      <w:r>
        <w:t xml:space="preserve"> </w:t>
      </w:r>
      <w:r>
        <w:t xml:space="preserve">The wellbeing evidence is moderate. The strongest UK study (Goodyear et al., 2025) is cross-sectional and therefore cannot distinguish whether restrictive policies caused better wellbeing or whether schools with better wellbeing adopted restrictive policies. The strongest causal evidence (Abrahamsson, 2024) is Norwegian. The claim that</w:t>
      </w:r>
      <w:r>
        <w:t xml:space="preserve"> </w:t>
      </w:r>
      <w:r>
        <w:t xml:space="preserve">“</w:t>
      </w:r>
      <w:r>
        <w:t xml:space="preserve">restrictive phone policies are associated with better wellbeing</w:t>
      </w:r>
      <w:r>
        <w:t xml:space="preserve">”</w:t>
      </w:r>
      <w:r>
        <w:t xml:space="preserve"> </w:t>
      </w:r>
      <w:r>
        <w:t xml:space="preserve">is what the UK evidence supports. The stronger claim that</w:t>
      </w:r>
      <w:r>
        <w:t xml:space="preserve"> </w:t>
      </w:r>
      <w:r>
        <w:t xml:space="preserve">“</w:t>
      </w:r>
      <w:r>
        <w:t xml:space="preserve">phone bans cause improved mental health</w:t>
      </w:r>
      <w:r>
        <w:t xml:space="preserve">”</w:t>
      </w:r>
      <w:r>
        <w:t xml:space="preserve"> </w:t>
      </w:r>
      <w:r>
        <w:t xml:space="preserve">is not yet justified by the UK evidence base, though it is consistent with the broader literature on digital technology and adolescent mental health.</w:t>
      </w:r>
    </w:p>
    <w:p>
      <w:pPr>
        <w:pStyle w:val="BodyText"/>
      </w:pPr>
      <w:r>
        <w:rPr>
          <w:bCs/>
          <w:b/>
        </w:rPr>
        <w:t xml:space="preserve">Evidence gap:</w:t>
      </w:r>
      <w:r>
        <w:t xml:space="preserve"> </w:t>
      </w:r>
      <w:r>
        <w:t xml:space="preserve">Longitudinal or quasi-experimental studies on wellbeing outcomes in UK schools are needed. The attainment evidence is stronger than the wellbeing evidence because the attainment studies used designs that allow causal inference. The wellbeing claim is plausible and consistent with what we know about adolescent mental health and screen time, but it is not as tightly evidenced as the attainment claim.</w:t>
      </w:r>
    </w:p>
    <w:bookmarkEnd w:id="22"/>
    <w:bookmarkStart w:id="23" w:name="study-quality-and-mechanism"/>
    <w:p>
      <w:pPr>
        <w:pStyle w:val="Heading1"/>
      </w:pPr>
      <w:r>
        <w:t xml:space="preserve">3. Study Quality and Mechanism</w:t>
      </w:r>
    </w:p>
    <w:p>
      <w:pPr>
        <w:pStyle w:val="FirstParagraph"/>
      </w:pPr>
      <w:r>
        <w:t xml:space="preserve">The studies cited above use research designs that attempt to isolate causal effects. Beland and Murphy (2016) employed a difference-in-differences design, comparing outcomes over time in cities that implemented phone bans against cities that did not (Beland and Murphy, 2016). The staggered timing across four cities strengthens causal interpretation.</w:t>
      </w:r>
    </w:p>
    <w:p>
      <w:pPr>
        <w:pStyle w:val="BodyText"/>
      </w:pPr>
      <w:r>
        <w:t xml:space="preserve">Abrahamsson (2024) used an event-study design with Norwegian administrative registers (Abrahamsson, 2024). Event studies track outcomes before and after a policy change, testing whether the change coincides with the policy. Kessel and colleagues used similar quasi-experimental logic in Swedish schools (Kessel et al., 2020). These are the strongest observational designs available when randomisation is not feasible.</w:t>
      </w:r>
    </w:p>
    <w:p>
      <w:pPr>
        <w:pStyle w:val="BodyText"/>
      </w:pPr>
      <w:r>
        <w:t xml:space="preserve">The mechanism underlying these effects is well-evidenced. Ward and colleagues (2017) conducted experiments showing that the mere presence of a smartphone—even switched off and face down—reduces available cognitive capacity (Ward et al., 2017). Participants performed worse on working memory and fluid intelligence measures when their phone was on the desk compared to when it was in another room, even though the phone was off. This</w:t>
      </w:r>
      <w:r>
        <w:t xml:space="preserve"> </w:t>
      </w:r>
      <w:r>
        <w:t xml:space="preserve">“</w:t>
      </w:r>
      <w:r>
        <w:t xml:space="preserve">brain drain</w:t>
      </w:r>
      <w:r>
        <w:t xml:space="preserve">”</w:t>
      </w:r>
      <w:r>
        <w:t xml:space="preserve"> </w:t>
      </w:r>
      <w:r>
        <w:t xml:space="preserve">effect explains why phone bans work: removing the phone from the learning environment addresses not only behavioural distraction but cognitive cost.</w:t>
      </w:r>
    </w:p>
    <w:p>
      <w:pPr>
        <w:pStyle w:val="BodyText"/>
      </w:pPr>
      <w:r>
        <w:t xml:space="preserve">Ward and colleagues’ findings support</w:t>
      </w:r>
      <w:r>
        <w:t xml:space="preserve"> </w:t>
      </w:r>
      <w:r>
        <w:t xml:space="preserve">“</w:t>
      </w:r>
      <w:r>
        <w:t xml:space="preserve">phone-free</w:t>
      </w:r>
      <w:r>
        <w:t xml:space="preserve">”</w:t>
      </w:r>
      <w:r>
        <w:t xml:space="preserve"> </w:t>
      </w:r>
      <w:r>
        <w:t xml:space="preserve">rather than</w:t>
      </w:r>
      <w:r>
        <w:t xml:space="preserve"> </w:t>
      </w:r>
      <w:r>
        <w:t xml:space="preserve">“</w:t>
      </w:r>
      <w:r>
        <w:t xml:space="preserve">phones away</w:t>
      </w:r>
      <w:r>
        <w:t xml:space="preserve">”</w:t>
      </w:r>
      <w:r>
        <w:t xml:space="preserve"> </w:t>
      </w:r>
      <w:r>
        <w:t xml:space="preserve">or</w:t>
      </w:r>
      <w:r>
        <w:t xml:space="preserve"> </w:t>
      </w:r>
      <w:r>
        <w:t xml:space="preserve">“</w:t>
      </w:r>
      <w:r>
        <w:t xml:space="preserve">silent mode</w:t>
      </w:r>
      <w:r>
        <w:t xml:space="preserve">”</w:t>
      </w:r>
      <w:r>
        <w:t xml:space="preserve"> </w:t>
      </w:r>
      <w:r>
        <w:t xml:space="preserve">policies. The mechanism evidence explains the attainment findings and justifies the specific policy form. Phone-free, not phone-silent, is what the cognitive science supports.</w:t>
      </w:r>
    </w:p>
    <w:bookmarkEnd w:id="23"/>
    <w:bookmarkStart w:id="26" w:name="X7813b8ec34b4a57513101c6764b0894d80190a7"/>
    <w:p>
      <w:pPr>
        <w:pStyle w:val="Heading1"/>
      </w:pPr>
      <w:r>
        <w:t xml:space="preserve">4. Implementation: Enforcement, Pouches, and Parental Contact</w:t>
      </w:r>
    </w:p>
    <w:p>
      <w:pPr>
        <w:pStyle w:val="FirstParagraph"/>
      </w:pPr>
      <w:r>
        <w:t xml:space="preserve">The implementation question is where the evidence base is thinnest. Research shows phone bans work when enforced, but provides limited peer-reviewed guidance on how to enforce them, and has not studied the safeguarding concerns that dominate consultation replies.</w:t>
      </w:r>
    </w:p>
    <w:bookmarkStart w:id="24" w:name="the-enforcement-gap"/>
    <w:p>
      <w:pPr>
        <w:pStyle w:val="Heading2"/>
      </w:pPr>
      <w:r>
        <w:t xml:space="preserve">4.1 The enforcement gap</w:t>
      </w:r>
    </w:p>
    <w:p>
      <w:pPr>
        <w:pStyle w:val="FirstParagraph"/>
      </w:pPr>
      <w:r>
        <w:t xml:space="preserve">School heads have raised that written policy and phone-free schools are not the same thing. Grigic Magnusson and colleagues (2023) documented</w:t>
      </w:r>
      <w:r>
        <w:t xml:space="preserve"> </w:t>
      </w:r>
      <w:r>
        <w:t xml:space="preserve">“</w:t>
      </w:r>
      <w:r>
        <w:t xml:space="preserve">complexities of managing a mobile phone ban</w:t>
      </w:r>
      <w:r>
        <w:t xml:space="preserve">”</w:t>
      </w:r>
      <w:r>
        <w:t xml:space="preserve"> </w:t>
      </w:r>
      <w:r>
        <w:t xml:space="preserve">in Swedish classrooms (Grigic Magnusson et al., 2023). Their research identified gaps between written policy and enforcement: even where schools had clear phone bans on paper, implementation varied and compliance was not universal.</w:t>
      </w:r>
    </w:p>
    <w:p>
      <w:pPr>
        <w:pStyle w:val="BodyText"/>
      </w:pPr>
      <w:r>
        <w:t xml:space="preserve">Lockable pouches have emerged as one enforcement mechanism. Students place phones in pouches at the start of the day, pouches are locked, and phones remain with students but inaccessible until unlocked at the school gate. Allcott and colleagues (2026) analysed national US evidence on lockable pouch programs (Allcott et al., 2026). Their findings suggest pouches can be effective. However, this is an NBER working paper—not yet peer-reviewed—from a different country. Pozsonyi and colleagues (2025) provided international comparison of phone restriction experiences (Pozsonyi et al., 2025).</w:t>
      </w:r>
    </w:p>
    <w:p>
      <w:pPr>
        <w:pStyle w:val="BodyText"/>
      </w:pPr>
      <w:r>
        <w:rPr>
          <w:bCs/>
          <w:b/>
        </w:rPr>
        <w:t xml:space="preserve">What the evidence supports:</w:t>
      </w:r>
      <w:r>
        <w:t xml:space="preserve"> </w:t>
      </w:r>
      <w:r>
        <w:t xml:space="preserve">Phone bans work when enforced. Enforcement is challenging. Lockable pouches show promise in US contexts, but evidence is recent, not peer-reviewed, and not UK-specific. There is no large-scale UK trial of pouches.</w:t>
      </w:r>
    </w:p>
    <w:p>
      <w:pPr>
        <w:pStyle w:val="BodyText"/>
      </w:pPr>
      <w:r>
        <w:rPr>
          <w:bCs/>
          <w:b/>
        </w:rPr>
        <w:t xml:space="preserve">What the evidence does not support:</w:t>
      </w:r>
      <w:r>
        <w:t xml:space="preserve"> </w:t>
      </w:r>
      <w:r>
        <w:t xml:space="preserve">Claims that pouches are proven at UK scale, or that one enforcement mechanism is definitively better than another.</w:t>
      </w:r>
    </w:p>
    <w:bookmarkEnd w:id="24"/>
    <w:bookmarkStart w:id="25" w:name="parental-contact-and-safeguarding"/>
    <w:p>
      <w:pPr>
        <w:pStyle w:val="Heading2"/>
      </w:pPr>
      <w:r>
        <w:t xml:space="preserve">4.2 Parental contact and safeguarding</w:t>
      </w:r>
    </w:p>
    <w:p>
      <w:pPr>
        <w:pStyle w:val="FirstParagraph"/>
      </w:pPr>
      <w:r>
        <w:t xml:space="preserve">Consultation responses are dominated by parents expressing concern about reaching their child during the school day, particularly in emergencies. This is the most common consultation theme. The research base has not studied this.</w:t>
      </w:r>
    </w:p>
    <w:p>
      <w:pPr>
        <w:pStyle w:val="BodyText"/>
      </w:pPr>
      <w:r>
        <w:t xml:space="preserve">No peer-reviewed study examines how phone-free policies affect emergency contact or safeguarding outcomes. Lepkowska (2019) discussed phone use from a school nursing perspective, touching on safeguarding (Lepkowska, 2019), but this is commentary rather than empirical research.</w:t>
      </w:r>
    </w:p>
    <w:p>
      <w:pPr>
        <w:pStyle w:val="BodyText"/>
      </w:pPr>
      <w:r>
        <w:rPr>
          <w:bCs/>
          <w:b/>
        </w:rPr>
        <w:t xml:space="preserve">What an annex can honestly say:</w:t>
      </w:r>
      <w:r>
        <w:t xml:space="preserve"> </w:t>
      </w:r>
      <w:r>
        <w:t xml:space="preserve">Phone-free policies do not mean parents cannot contact their children. Schools have landlines, reception desks, and emergency protocols that functioned before smartphones existed. In an emergency, parents can phone the school office, and schools can locate children.</w:t>
      </w:r>
    </w:p>
    <w:p>
      <w:pPr>
        <w:pStyle w:val="BodyText"/>
      </w:pPr>
      <w:r>
        <w:t xml:space="preserve">However, research has not tested whether these protocols are as fast or reliable as direct mobile contact. The claim that removing phones impairs emergency response is not evidenced. The counter-claim that it does not is also not evidenced. This is the largest gap between what research has studied and what the policy debate is about.</w:t>
      </w:r>
    </w:p>
    <w:p>
      <w:pPr>
        <w:pStyle w:val="BodyText"/>
      </w:pPr>
      <w:r>
        <w:rPr>
          <w:bCs/>
          <w:b/>
        </w:rPr>
        <w:t xml:space="preserve">Implication:</w:t>
      </w:r>
      <w:r>
        <w:t xml:space="preserve"> </w:t>
      </w:r>
      <w:r>
        <w:t xml:space="preserve">The decision to implement phone-free policies from January rests on attainment and cognitive distraction evidence, which is strong. It does not rest on evidence about safeguarding or parental contact, because that evidence does not exist. Schools will need to communicate clearly about existing emergency contact procedures, but these will be operational decisions rather than evidence-based answers.</w:t>
      </w:r>
    </w:p>
    <w:bookmarkEnd w:id="25"/>
    <w:bookmarkEnd w:id="26"/>
    <w:bookmarkStart w:id="28" w:name="limitations-and-evidence-gaps"/>
    <w:p>
      <w:pPr>
        <w:pStyle w:val="Heading1"/>
      </w:pPr>
      <w:r>
        <w:t xml:space="preserve">5. Limitations and Evidence Gaps</w:t>
      </w:r>
    </w:p>
    <w:p>
      <w:pPr>
        <w:pStyle w:val="FirstParagraph"/>
      </w:pPr>
      <w:r>
        <w:t xml:space="preserve">This review has identified several gaps where the research base does not yet provide clear answers.</w:t>
      </w:r>
    </w:p>
    <w:p>
      <w:pPr>
        <w:pStyle w:val="BodyText"/>
      </w:pPr>
      <w:r>
        <w:rPr>
          <w:bCs/>
          <w:b/>
        </w:rPr>
        <w:t xml:space="preserve">Wellbeing evidence is weaker than attainment evidence.</w:t>
      </w:r>
      <w:r>
        <w:t xml:space="preserve"> </w:t>
      </w:r>
      <w:r>
        <w:t xml:space="preserve">The largest UK study on wellbeing (Goodyear et al., 2025) is cross-sectional (Goodyear et al., 2025). The strongest causal evidence (Abrahamsson, 2024) comes from Norway (Abrahamsson, 2024). Longitudinal or quasi-experimental UK studies on wellbeing outcomes are needed.</w:t>
      </w:r>
    </w:p>
    <w:p>
      <w:pPr>
        <w:pStyle w:val="BodyText"/>
      </w:pPr>
      <w:r>
        <w:rPr>
          <w:bCs/>
          <w:b/>
        </w:rPr>
        <w:t xml:space="preserve">Enforcement evidence is emerging but not UK-specific.</w:t>
      </w:r>
      <w:r>
        <w:t xml:space="preserve"> </w:t>
      </w:r>
      <w:r>
        <w:t xml:space="preserve">The best evidence on lockable pouches comes from a 2026 US working paper not yet peer-reviewed (Allcott et al., 2026). There is no large-scale UK trial of pouch-based enforcement.</w:t>
      </w:r>
    </w:p>
    <w:p>
      <w:pPr>
        <w:pStyle w:val="BodyText"/>
      </w:pPr>
      <w:r>
        <w:rPr>
          <w:bCs/>
          <w:b/>
        </w:rPr>
        <w:t xml:space="preserve">Safeguarding and parental contact have not been researched.</w:t>
      </w:r>
      <w:r>
        <w:t xml:space="preserve"> </w:t>
      </w:r>
      <w:r>
        <w:t xml:space="preserve">Despite being the dominant consultation theme, there are no peer-reviewed studies examining how phone-free policies affect emergency contact or safeguarding outcomes.</w:t>
      </w:r>
    </w:p>
    <w:p>
      <w:pPr>
        <w:pStyle w:val="BodyText"/>
      </w:pPr>
      <w:r>
        <w:rPr>
          <w:bCs/>
          <w:b/>
        </w:rPr>
        <w:t xml:space="preserve">SEND pupils are not addressed in this literature.</w:t>
      </w:r>
      <w:r>
        <w:t xml:space="preserve"> </w:t>
      </w:r>
      <w:r>
        <w:t xml:space="preserve">None of the studies examine whether phone bans affect pupils with special educational needs differently. If phone use is an accommodation for some SEND pupils, a blanket ban may require tailored exceptions.</w:t>
      </w:r>
    </w:p>
    <w:p>
      <w:pPr>
        <w:pStyle w:val="BodyText"/>
      </w:pPr>
      <w:r>
        <w:rPr>
          <w:bCs/>
          <w:b/>
        </w:rPr>
        <w:t xml:space="preserve">Sixth form is a policy judgment.</w:t>
      </w:r>
      <w:r>
        <w:t xml:space="preserve"> </w:t>
      </w:r>
      <w:r>
        <w:t xml:space="preserve">Most research examines secondary-age pupils (ages 11 to 16). Gao and colleagues (2014) noted that phone policies differ by school level (Gao et al., 2014), but whether phone-free policies should extend to sixth form (ages 16 to 18) is a policy decision rather than one the evidence clearly supports or refutes.</w:t>
      </w:r>
    </w:p>
    <w:p>
      <w:pPr>
        <w:pStyle w:val="BodyText"/>
      </w:pPr>
      <w:r>
        <w:rPr>
          <w:bCs/>
          <w:b/>
        </w:rPr>
        <w:t xml:space="preserve">Most causal evidence is Nordic.</w:t>
      </w:r>
      <w:r>
        <w:t xml:space="preserve"> </w:t>
      </w:r>
      <w:r>
        <w:t xml:space="preserve">Beyond Beland and Murphy (2016), the strongest causal studies come from Sweden and Norway (Kessel et al., 2020)(Abrahamsson, 2024). These are educationally similar systems, and cross-national consistency is evidence of robustness, but more UK-based quasi-experimental work would strengthen confidence.</w:t>
      </w:r>
    </w:p>
    <w:bookmarkStart w:id="27" w:name="references"/>
    <w:p>
      <w:pPr>
        <w:pStyle w:val="Heading2"/>
      </w:pPr>
      <w:r>
        <w:t xml:space="preserve">References</w:t>
      </w:r>
    </w:p>
    <w:p>
      <w:pPr>
        <w:pStyle w:val="FirstParagraph"/>
      </w:pPr>
      <w:r>
        <w:t xml:space="preserve">Abrahamsson, S. (2024)</w:t>
      </w:r>
      <w:r>
        <w:t xml:space="preserve"> </w:t>
      </w:r>
      <w:r>
        <w:t xml:space="preserve">‘</w:t>
      </w:r>
      <w:r>
        <w:t xml:space="preserve">Smartphone Bans, Student Outcomes and Mental Health</w:t>
      </w:r>
      <w:r>
        <w:t xml:space="preserve">’</w:t>
      </w:r>
      <w:r>
        <w:t xml:space="preserve">. Available at: https://doi.org/10.2139/ssrn.4735240.</w:t>
      </w:r>
    </w:p>
    <w:p>
      <w:pPr>
        <w:pStyle w:val="BodyText"/>
      </w:pPr>
      <w:r>
        <w:t xml:space="preserve">Allcott, H. et al. (2026)</w:t>
      </w:r>
      <w:r>
        <w:t xml:space="preserve"> </w:t>
      </w:r>
      <w:r>
        <w:t xml:space="preserve">‘</w:t>
      </w:r>
      <w:r>
        <w:t xml:space="preserve">The Effects of School Phone Bans: National Evidence from Lockable Pouches</w:t>
      </w:r>
      <w:r>
        <w:t xml:space="preserve">’</w:t>
      </w:r>
      <w:r>
        <w:t xml:space="preserve">. National Bureau of Economic Research. Available at: https://doi.org/10.3386/w35132.</w:t>
      </w:r>
    </w:p>
    <w:p>
      <w:pPr>
        <w:pStyle w:val="BodyText"/>
      </w:pPr>
      <w:r>
        <w:t xml:space="preserve">Amez, S. and Baert, S. (2020)</w:t>
      </w:r>
      <w:r>
        <w:t xml:space="preserve"> </w:t>
      </w:r>
      <w:r>
        <w:t xml:space="preserve">‘</w:t>
      </w:r>
      <w:r>
        <w:t xml:space="preserve">Smartphone use and academic performance: A literature review</w:t>
      </w:r>
      <w:r>
        <w:t xml:space="preserve">’</w:t>
      </w:r>
      <w:r>
        <w:t xml:space="preserve">.</w:t>
      </w:r>
      <w:r>
        <w:t xml:space="preserve"> </w:t>
      </w:r>
      <w:r>
        <w:rPr>
          <w:iCs/>
          <w:i/>
        </w:rPr>
        <w:t xml:space="preserve">International Journal of Educational Research</w:t>
      </w:r>
      <w:r>
        <w:t xml:space="preserve">. Available at: https://doi.org/10.1016/j.ijer.2020.101618.</w:t>
      </w:r>
    </w:p>
    <w:p>
      <w:pPr>
        <w:pStyle w:val="BodyText"/>
      </w:pPr>
      <w:r>
        <w:t xml:space="preserve">Beland, L. and Murphy, R. (2016)</w:t>
      </w:r>
      <w:r>
        <w:t xml:space="preserve"> </w:t>
      </w:r>
      <w:r>
        <w:t xml:space="preserve">‘</w:t>
      </w:r>
      <w:r>
        <w:t xml:space="preserve">Ill Communication: Technology, distraction &amp; student performance</w:t>
      </w:r>
      <w:r>
        <w:t xml:space="preserve">’</w:t>
      </w:r>
      <w:r>
        <w:t xml:space="preserve">.</w:t>
      </w:r>
      <w:r>
        <w:t xml:space="preserve"> </w:t>
      </w:r>
      <w:r>
        <w:rPr>
          <w:iCs/>
          <w:i/>
        </w:rPr>
        <w:t xml:space="preserve">Labour Economics</w:t>
      </w:r>
      <w:r>
        <w:t xml:space="preserve">. Available at: https://doi.org/10.1016/j.labeco.2016.04.004.</w:t>
      </w:r>
    </w:p>
    <w:p>
      <w:pPr>
        <w:pStyle w:val="BodyText"/>
      </w:pPr>
      <w:r>
        <w:t xml:space="preserve">Gao, Q. et al. (2014)</w:t>
      </w:r>
      <w:r>
        <w:t xml:space="preserve"> </w:t>
      </w:r>
      <w:r>
        <w:t xml:space="preserve">‘</w:t>
      </w:r>
      <w:r>
        <w:t xml:space="preserve">To ban or not to ban: Differences in mobile phone policies at elementary, middle, and high schools</w:t>
      </w:r>
      <w:r>
        <w:t xml:space="preserve">’</w:t>
      </w:r>
      <w:r>
        <w:t xml:space="preserve">.</w:t>
      </w:r>
      <w:r>
        <w:t xml:space="preserve"> </w:t>
      </w:r>
      <w:r>
        <w:rPr>
          <w:iCs/>
          <w:i/>
        </w:rPr>
        <w:t xml:space="preserve">Computers in Human Behavior</w:t>
      </w:r>
      <w:r>
        <w:t xml:space="preserve">. Available at: https://doi.org/10.1016/j.chb.2014.05.011.</w:t>
      </w:r>
    </w:p>
    <w:p>
      <w:pPr>
        <w:pStyle w:val="BodyText"/>
      </w:pPr>
      <w:r>
        <w:t xml:space="preserve">Goodyear, V. A. et al. (2025)</w:t>
      </w:r>
      <w:r>
        <w:t xml:space="preserve"> </w:t>
      </w:r>
      <w:r>
        <w:t xml:space="preserve">‘</w:t>
      </w:r>
      <w:r>
        <w:t xml:space="preserve">School phone policies and their association with mental wellbeing, phone use, and social media use (SMART Schools): a cross-sectional observational study</w:t>
      </w:r>
      <w:r>
        <w:t xml:space="preserve">’</w:t>
      </w:r>
      <w:r>
        <w:t xml:space="preserve">.</w:t>
      </w:r>
      <w:r>
        <w:t xml:space="preserve"> </w:t>
      </w:r>
      <w:r>
        <w:rPr>
          <w:iCs/>
          <w:i/>
        </w:rPr>
        <w:t xml:space="preserve">The Lancet Regional Health - Europe</w:t>
      </w:r>
      <w:r>
        <w:t xml:space="preserve">. Available at: https://doi.org/10.1016/j.lanepe.2025.101211.</w:t>
      </w:r>
    </w:p>
    <w:p>
      <w:pPr>
        <w:pStyle w:val="BodyText"/>
      </w:pPr>
      <w:r>
        <w:t xml:space="preserve">Grigic Magnusson, A. et al. (2023)</w:t>
      </w:r>
      <w:r>
        <w:t xml:space="preserve"> </w:t>
      </w:r>
      <w:r>
        <w:t xml:space="preserve">‘</w:t>
      </w:r>
      <w:r>
        <w:t xml:space="preserve">Complexities of Managing a Mobile Phone Ban in the Digitalized Schools</w:t>
      </w:r>
      <w:r>
        <w:t xml:space="preserve">’</w:t>
      </w:r>
      <w:r>
        <w:t xml:space="preserve"> </w:t>
      </w:r>
      <w:r>
        <w:t xml:space="preserve">Classroom’.</w:t>
      </w:r>
      <w:r>
        <w:t xml:space="preserve"> </w:t>
      </w:r>
      <w:r>
        <w:rPr>
          <w:iCs/>
          <w:i/>
        </w:rPr>
        <w:t xml:space="preserve">Computers in the Schools</w:t>
      </w:r>
      <w:r>
        <w:t xml:space="preserve">. Available at: https://doi.org/10.1080/07380569.2023.2211062.</w:t>
      </w:r>
    </w:p>
    <w:p>
      <w:pPr>
        <w:pStyle w:val="BodyText"/>
      </w:pPr>
      <w:r>
        <w:t xml:space="preserve">Kessel, D., Hardardottir, H. L. and Tyrefors, B. (2020)</w:t>
      </w:r>
      <w:r>
        <w:t xml:space="preserve"> </w:t>
      </w:r>
      <w:r>
        <w:t xml:space="preserve">‘</w:t>
      </w:r>
      <w:r>
        <w:t xml:space="preserve">The impact of banning mobile phones in Swedish secondary schools</w:t>
      </w:r>
      <w:r>
        <w:t xml:space="preserve">’</w:t>
      </w:r>
      <w:r>
        <w:t xml:space="preserve">.</w:t>
      </w:r>
      <w:r>
        <w:t xml:space="preserve"> </w:t>
      </w:r>
      <w:r>
        <w:rPr>
          <w:iCs/>
          <w:i/>
        </w:rPr>
        <w:t xml:space="preserve">Economics of Education Review</w:t>
      </w:r>
      <w:r>
        <w:t xml:space="preserve">. Available at: https://doi.org/10.1016/j.econedurev.2020.102009.</w:t>
      </w:r>
    </w:p>
    <w:p>
      <w:pPr>
        <w:pStyle w:val="BodyText"/>
      </w:pPr>
      <w:r>
        <w:t xml:space="preserve">Kuznekoff, J. H. and Titsworth, S. (2013)</w:t>
      </w:r>
      <w:r>
        <w:t xml:space="preserve"> </w:t>
      </w:r>
      <w:r>
        <w:t xml:space="preserve">‘</w:t>
      </w:r>
      <w:r>
        <w:t xml:space="preserve">The Impact of Mobile Phone Usage on Student Learning</w:t>
      </w:r>
      <w:r>
        <w:t xml:space="preserve">’</w:t>
      </w:r>
      <w:r>
        <w:t xml:space="preserve">.</w:t>
      </w:r>
      <w:r>
        <w:t xml:space="preserve"> </w:t>
      </w:r>
      <w:r>
        <w:rPr>
          <w:iCs/>
          <w:i/>
        </w:rPr>
        <w:t xml:space="preserve">Communication Education</w:t>
      </w:r>
      <w:r>
        <w:t xml:space="preserve">. Available at: https://doi.org/10.1080/03634523.2013.767917.</w:t>
      </w:r>
    </w:p>
    <w:p>
      <w:pPr>
        <w:pStyle w:val="BodyText"/>
      </w:pPr>
      <w:r>
        <w:t xml:space="preserve">Lepkowska, D. (2019)</w:t>
      </w:r>
      <w:r>
        <w:t xml:space="preserve"> </w:t>
      </w:r>
      <w:r>
        <w:t xml:space="preserve">‘</w:t>
      </w:r>
      <w:r>
        <w:t xml:space="preserve">To ban or not to ban? Mobile phone use in schools</w:t>
      </w:r>
      <w:r>
        <w:t xml:space="preserve">’</w:t>
      </w:r>
      <w:r>
        <w:t xml:space="preserve">.</w:t>
      </w:r>
      <w:r>
        <w:t xml:space="preserve"> </w:t>
      </w:r>
      <w:r>
        <w:rPr>
          <w:iCs/>
          <w:i/>
        </w:rPr>
        <w:t xml:space="preserve">British Journal of School Nursing</w:t>
      </w:r>
      <w:r>
        <w:t xml:space="preserve">. Available at: https://doi.org/10.12968/bjsn.2019.14.10.510.</w:t>
      </w:r>
    </w:p>
    <w:p>
      <w:pPr>
        <w:pStyle w:val="BodyText"/>
      </w:pPr>
      <w:r>
        <w:t xml:space="preserve">Odgers, C. L. and Jensen, M. R. (2020)</w:t>
      </w:r>
      <w:r>
        <w:t xml:space="preserve"> </w:t>
      </w:r>
      <w:r>
        <w:t xml:space="preserve">‘</w:t>
      </w:r>
      <w:r>
        <w:t xml:space="preserve">Annual Research Review: Adolescent mental health in the digital age: facts, fears, and future directions</w:t>
      </w:r>
      <w:r>
        <w:t xml:space="preserve">’</w:t>
      </w:r>
      <w:r>
        <w:t xml:space="preserve">.</w:t>
      </w:r>
      <w:r>
        <w:t xml:space="preserve"> </w:t>
      </w:r>
      <w:r>
        <w:rPr>
          <w:iCs/>
          <w:i/>
        </w:rPr>
        <w:t xml:space="preserve">Journal of Child Psychology and Psychiatry</w:t>
      </w:r>
      <w:r>
        <w:t xml:space="preserve">. Available at: https://doi.org/10.1111/jcpp.13190.</w:t>
      </w:r>
    </w:p>
    <w:p>
      <w:pPr>
        <w:pStyle w:val="BodyText"/>
      </w:pPr>
      <w:r>
        <w:t xml:space="preserve">Orben, A. and Przybylski, A. K. (2019)</w:t>
      </w:r>
      <w:r>
        <w:t xml:space="preserve"> </w:t>
      </w:r>
      <w:r>
        <w:t xml:space="preserve">‘</w:t>
      </w:r>
      <w:r>
        <w:t xml:space="preserve">The association between adolescent well-being and digital technology use</w:t>
      </w:r>
      <w:r>
        <w:t xml:space="preserve">’</w:t>
      </w:r>
      <w:r>
        <w:t xml:space="preserve">.</w:t>
      </w:r>
      <w:r>
        <w:t xml:space="preserve"> </w:t>
      </w:r>
      <w:r>
        <w:rPr>
          <w:iCs/>
          <w:i/>
        </w:rPr>
        <w:t xml:space="preserve">Nature Human Behaviour</w:t>
      </w:r>
      <w:r>
        <w:t xml:space="preserve">. Available at: https://doi.org/10.1038/s41562-018-0506-1.</w:t>
      </w:r>
    </w:p>
    <w:p>
      <w:pPr>
        <w:pStyle w:val="BodyText"/>
      </w:pPr>
      <w:r>
        <w:t xml:space="preserve">Pozsonyi, E., Lengyelné Molnár, T. and Racsko, R. (2025)</w:t>
      </w:r>
      <w:r>
        <w:t xml:space="preserve"> </w:t>
      </w:r>
      <w:r>
        <w:t xml:space="preserve">‘</w:t>
      </w:r>
      <w:r>
        <w:t xml:space="preserve">To ban or not to ban – domestic and international experiences of restricting mobile phone ban use in schools</w:t>
      </w:r>
      <w:r>
        <w:t xml:space="preserve">’</w:t>
      </w:r>
      <w:r>
        <w:t xml:space="preserve">.</w:t>
      </w:r>
      <w:r>
        <w:t xml:space="preserve"> </w:t>
      </w:r>
      <w:r>
        <w:rPr>
          <w:iCs/>
          <w:i/>
        </w:rPr>
        <w:t xml:space="preserve">Educational Media International</w:t>
      </w:r>
      <w:r>
        <w:t xml:space="preserve">. Available at: https://doi.org/10.1080/09523987.2025.2588529.</w:t>
      </w:r>
    </w:p>
    <w:p>
      <w:pPr>
        <w:pStyle w:val="BodyText"/>
      </w:pPr>
      <w:r>
        <w:t xml:space="preserve">Selwyn, N. and Aagaard, J. (2020)</w:t>
      </w:r>
      <w:r>
        <w:t xml:space="preserve"> </w:t>
      </w:r>
      <w:r>
        <w:t xml:space="preserve">‘</w:t>
      </w:r>
      <w:r>
        <w:t xml:space="preserve">Banning mobile phones from classrooms—An opportunity to advance understandings of technology addiction, distraction and cyberbullying</w:t>
      </w:r>
      <w:r>
        <w:t xml:space="preserve">’</w:t>
      </w:r>
      <w:r>
        <w:t xml:space="preserve">.</w:t>
      </w:r>
      <w:r>
        <w:t xml:space="preserve"> </w:t>
      </w:r>
      <w:r>
        <w:rPr>
          <w:iCs/>
          <w:i/>
        </w:rPr>
        <w:t xml:space="preserve">British Journal of Educational Technology</w:t>
      </w:r>
      <w:r>
        <w:t xml:space="preserve">. Available at: https://doi.org/10.1111/bjet.12943.</w:t>
      </w:r>
    </w:p>
    <w:p>
      <w:pPr>
        <w:pStyle w:val="BodyText"/>
      </w:pPr>
      <w:r>
        <w:t xml:space="preserve">Sunday, O. J., Adesope, O. O. and Maarhuis, P. L. (2021)</w:t>
      </w:r>
      <w:r>
        <w:t xml:space="preserve"> </w:t>
      </w:r>
      <w:r>
        <w:t xml:space="preserve">‘</w:t>
      </w:r>
      <w:r>
        <w:t xml:space="preserve">The effects of smartphone addiction on learning: A meta-analysis</w:t>
      </w:r>
      <w:r>
        <w:t xml:space="preserve">’</w:t>
      </w:r>
      <w:r>
        <w:t xml:space="preserve">.</w:t>
      </w:r>
      <w:r>
        <w:t xml:space="preserve"> </w:t>
      </w:r>
      <w:r>
        <w:rPr>
          <w:iCs/>
          <w:i/>
        </w:rPr>
        <w:t xml:space="preserve">Computers in Human Behavior Reports</w:t>
      </w:r>
      <w:r>
        <w:t xml:space="preserve">. Available at: https://doi.org/10.1016/j.chbr.2021.100114.</w:t>
      </w:r>
    </w:p>
    <w:p>
      <w:pPr>
        <w:pStyle w:val="BodyText"/>
      </w:pPr>
      <w:r>
        <w:t xml:space="preserve">Ward, A. F. et al. (2017)</w:t>
      </w:r>
      <w:r>
        <w:t xml:space="preserve"> </w:t>
      </w:r>
      <w:r>
        <w:t xml:space="preserve">‘</w:t>
      </w:r>
      <w:r>
        <w:t xml:space="preserve">Brain Drain: The Mere Presence of One’s Own Smartphone Reduces Available Cognitive Capacity</w:t>
      </w:r>
      <w:r>
        <w:t xml:space="preserve">’</w:t>
      </w:r>
      <w:r>
        <w:t xml:space="preserve">.</w:t>
      </w:r>
      <w:r>
        <w:t xml:space="preserve"> </w:t>
      </w:r>
      <w:r>
        <w:rPr>
          <w:iCs/>
          <w:i/>
        </w:rPr>
        <w:t xml:space="preserve">Journal of the Association for Consumer Research</w:t>
      </w:r>
      <w:r>
        <w:t xml:space="preserve">. Available at: https://doi.org/10.1086/691462.</w:t>
      </w:r>
    </w:p>
    <w:p>
      <w:pPr>
        <w:pStyle w:val="BodyText"/>
      </w:pPr>
      <w:r>
        <w:t xml:space="preserve">Zhang, A. (2026)</w:t>
      </w:r>
      <w:r>
        <w:t xml:space="preserve"> </w:t>
      </w:r>
      <w:r>
        <w:t xml:space="preserve">‘</w:t>
      </w:r>
      <w:r>
        <w:t xml:space="preserve">Cell Phone Use, Academic Performance, and Social Connections: Evidence from the Exogenous Shock of a Cell Phone Ban</w:t>
      </w:r>
      <w:r>
        <w:t xml:space="preserve">’</w:t>
      </w:r>
      <w:r>
        <w:t xml:space="preserve">. Available at: https://doi.org/10.2139/ssrn.5992034.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2026-09-16T20:10:23Z</dcterms:created>
  <dcterms:modified xsi:type="dcterms:W3CDTF">2026-09-16T20:10:23Z</dcterms:modified>
</cp:coreProperties>
</file>

<file path=docProps/custom.xml><?xml version="1.0" encoding="utf-8"?>
<Properties xmlns="http://schemas.openxmlformats.org/officeDocument/2006/custom-properties" xmlns:vt="http://schemas.openxmlformats.org/officeDocument/2006/docPropsVTypes"/>
</file>