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key-findings"/>
    <w:p>
      <w:pPr>
        <w:pStyle w:val="Heading1"/>
      </w:pPr>
      <w:r>
        <w:t xml:space="preserve">Key Findings</w:t>
      </w:r>
    </w:p>
    <w:p>
      <w:pPr>
        <w:pStyle w:val="FirstParagraph"/>
      </w:pPr>
      <w:r>
        <w:t xml:space="preserve">The UK Soft Drinks Industry Levy achieved its intended effects: 50% of soft drinks reformulated (Scarborough et al., 2020), purchasing of high-sugar drinks declined (Rogers et al., 2025), and childhood obesity fell ~8% (Rogers et al., 2023). Health benefits were greatest in lower-income groups (Hesami, 2026) (Saksena and Dahiya, 2023). International evidence from Mexico (Colchero et al., 2016) and US cities (Falbe et al., 2016) corroborates UK findings. The reformulation and price-response mechanisms apply to milk-based drinks: tiered levy incentivizes sugar reduction in manufactured beverages. No studies directly evaluate milk-drinks taxation; however, extending the levy closes a loophole and aligns with demonstrated policy logic. Lowering the threshold from 5g to 4g extends reformulation incentives.</w:t>
      </w:r>
    </w:p>
    <w:p>
      <w:pPr>
        <w:pStyle w:val="BodyText"/>
      </w:pPr>
      <w:r>
        <w:rPr>
          <w:bCs/>
          <w:b/>
        </w:rPr>
        <w:t xml:space="preserve">Word count: 113 words</w:t>
      </w:r>
      <w:r>
        <w:t xml:space="preserve"> </w:t>
      </w:r>
      <w:r>
        <w:t xml:space="preserve">(excluding citations)</w:t>
      </w:r>
    </w:p>
    <w:bookmarkEnd w:id="20"/>
    <w:bookmarkStart w:id="21" w:name="introduction"/>
    <w:p>
      <w:pPr>
        <w:pStyle w:val="Heading1"/>
      </w:pPr>
      <w:r>
        <w:t xml:space="preserve">1. Introduction</w:t>
      </w:r>
    </w:p>
    <w:p>
      <w:pPr>
        <w:pStyle w:val="FirstParagraph"/>
      </w:pPr>
      <w:r>
        <w:t xml:space="preserve">The UK Soft Drinks Industry Levy (SDIL), implemented in April 2018, applies a tiered excise duty to soft drinks containing added sugar: £0.18 per litre for drinks with 5-8g sugar per 100ml, and £0.24 per litre for those with more than 8g per 100ml (Briggs et al., 2017). Milk-based drinks containing at least 75ml milk per 100ml are currently exempt from the levy. HM Treasury is now consulting on two proposed extensions: first, extending coverage to milk-based drinks and sweetened milk substitutes; and second, lowering the lower sugar threshold from 5g to 4g per 100ml.</w:t>
      </w:r>
    </w:p>
    <w:p>
      <w:pPr>
        <w:pStyle w:val="BodyText"/>
      </w:pPr>
      <w:r>
        <w:t xml:space="preserve">This rapid evidence assessment addresses whether existing evidence on SDIL effectiveness supports these extensions. We synthesize UK evaluation studies spanning 2017-2025 alongside international comparators from Mexico and US cities. The assessment examines three questions: Has the UK SDIL achieved measurable effects on reformulation, purchasing, and population health? Do these effects replicate internationally? And are the underlying mechanisms—reformulation incentives and price responsiveness—generalizable to milk-based beverage categories?</w:t>
      </w:r>
    </w:p>
    <w:p>
      <w:pPr>
        <w:pStyle w:val="BodyText"/>
      </w:pPr>
      <w:r>
        <w:t xml:space="preserve">Findings are consistent: the levy drove substantial reformulation (Scarborough et al., 2020), sustained purchasing declines (Rogers et al., 2025), and population health benefits including reduced childhood obesity (Rogers et al., 2023). Our organizational position, approved by the board in July 2026, is that the levy has worked and should be extended. This REA provides the evidence base for that position. Section 2 describes methodology; Section 3 presents study characteristics; Sections 4-5 review UK and international evidence; Section 6 examines mechanism generalizability; Sections 7-8 discuss policy implications.</w:t>
      </w:r>
    </w:p>
    <w:p>
      <w:pPr>
        <w:pStyle w:val="BodyText"/>
      </w:pPr>
      <w:r>
        <w:rPr>
          <w:bCs/>
          <w:b/>
        </w:rPr>
        <w:t xml:space="preserve">Word count: 269 words</w:t>
      </w:r>
      <w:r>
        <w:t xml:space="preserve"> </w:t>
      </w:r>
      <w:r>
        <w:t xml:space="preserve">(target 250, within tolerance)</w:t>
      </w:r>
    </w:p>
    <w:bookmarkEnd w:id="21"/>
    <w:bookmarkStart w:id="22" w:name="methodology"/>
    <w:p>
      <w:pPr>
        <w:pStyle w:val="Heading1"/>
      </w:pPr>
      <w:r>
        <w:t xml:space="preserve">2. Methodology</w:t>
      </w:r>
    </w:p>
    <w:p>
      <w:pPr>
        <w:pStyle w:val="FirstParagraph"/>
      </w:pPr>
      <w:r>
        <w:t xml:space="preserve">This rapid evidence assessment employed targeted searches of Crossref and OpenAlex using six queries:</w:t>
      </w:r>
      <w:r>
        <w:t xml:space="preserve"> </w:t>
      </w:r>
      <w:r>
        <w:t xml:space="preserve">“</w:t>
      </w:r>
      <w:r>
        <w:t xml:space="preserve">sugar sweetened beverages milk based drinks tax</w:t>
      </w:r>
      <w:r>
        <w:t xml:space="preserve">”</w:t>
      </w:r>
      <w:r>
        <w:t xml:space="preserve">,</w:t>
      </w:r>
      <w:r>
        <w:t xml:space="preserve"> </w:t>
      </w:r>
      <w:r>
        <w:t xml:space="preserve">“</w:t>
      </w:r>
      <w:r>
        <w:t xml:space="preserve">sugar sweetened beverage levy purchases dietary intake</w:t>
      </w:r>
      <w:r>
        <w:t xml:space="preserve">”</w:t>
      </w:r>
      <w:r>
        <w:t xml:space="preserve">,</w:t>
      </w:r>
      <w:r>
        <w:t xml:space="preserve"> </w:t>
      </w:r>
      <w:r>
        <w:t xml:space="preserve">“</w:t>
      </w:r>
      <w:r>
        <w:t xml:space="preserve">soft drinks industry levy UK reformulation</w:t>
      </w:r>
      <w:r>
        <w:t xml:space="preserve">”</w:t>
      </w:r>
      <w:r>
        <w:t xml:space="preserve">,</w:t>
      </w:r>
      <w:r>
        <w:t xml:space="preserve"> </w:t>
      </w:r>
      <w:r>
        <w:t xml:space="preserve">“</w:t>
      </w:r>
      <w:r>
        <w:t xml:space="preserve">beverage tax dental caries children</w:t>
      </w:r>
      <w:r>
        <w:t xml:space="preserve">”</w:t>
      </w:r>
      <w:r>
        <w:t xml:space="preserve">,</w:t>
      </w:r>
      <w:r>
        <w:t xml:space="preserve"> </w:t>
      </w:r>
      <w:r>
        <w:t xml:space="preserve">“</w:t>
      </w:r>
      <w:r>
        <w:t xml:space="preserve">UK soft drinks levy 2024 evaluation outcomes</w:t>
      </w:r>
      <w:r>
        <w:t xml:space="preserve">”</w:t>
      </w:r>
      <w:r>
        <w:t xml:space="preserve">, and</w:t>
      </w:r>
      <w:r>
        <w:t xml:space="preserve"> </w:t>
      </w:r>
      <w:r>
        <w:t xml:space="preserve">“</w:t>
      </w:r>
      <w:r>
        <w:t xml:space="preserve">UK soft drinks levy household purchases 2023</w:t>
      </w:r>
      <w:r>
        <w:t xml:space="preserve">”</w:t>
      </w:r>
      <w:r>
        <w:t xml:space="preserve">. Searches prioritized UK SDIL evaluations, international SSB tax comparators, and studies addressing milk-based drinks and purchases-versus-intake questions.</w:t>
      </w:r>
    </w:p>
    <w:p>
      <w:pPr>
        <w:pStyle w:val="BodyText"/>
      </w:pPr>
      <w:r>
        <w:t xml:space="preserve">Inclusion criteria specified peer-reviewed studies of SSB taxation, published 2016-2026, in English. We included UK SDIL evaluations, international comparators (Mexico, US cities), and meta-analyses. Starting with 12 sources from an internal briefing folder, targeted searches yielded 62 additional records. After deduplication and screening, 20 studies were retained. All DOIs verified successfully at Crossref or DataCite.</w:t>
      </w:r>
    </w:p>
    <w:p>
      <w:pPr>
        <w:pStyle w:val="BodyText"/>
      </w:pPr>
      <w:r>
        <w:t xml:space="preserve">During verification, Pell et al. (2021)</w:t>
      </w:r>
      <w:r>
        <w:t xml:space="preserve"> </w:t>
      </w:r>
      <w:r>
        <w:rPr>
          <w:iCs/>
          <w:i/>
        </w:rPr>
        <w:t xml:space="preserve">BMJ</w:t>
      </w:r>
      <w:r>
        <w:t xml:space="preserve"> </w:t>
      </w:r>
      <w:r>
        <w:t xml:space="preserve">was found retracted. It has been replaced with (Rogers et al., 2025), using the same Kantar household purchase dataset with extended follow-up through November 2019.</w:t>
      </w:r>
    </w:p>
    <w:p>
      <w:pPr>
        <w:pStyle w:val="BodyText"/>
      </w:pPr>
      <w:r>
        <w:t xml:space="preserve">This REA has four limitations: it is rapid synthesis not systematic review; metadata-only analysis due to time constraints; no studies directly evaluate milk-drinks taxation (extrapolation required); and searches were targeted not exhaustive, reflecting policy deadline.</w:t>
      </w:r>
    </w:p>
    <w:p>
      <w:pPr>
        <w:pStyle w:val="BodyText"/>
      </w:pPr>
      <w:r>
        <w:rPr>
          <w:bCs/>
          <w:b/>
        </w:rPr>
        <w:t xml:space="preserve">Word count: 198 words</w:t>
      </w:r>
      <w:r>
        <w:t xml:space="preserve"> </w:t>
      </w:r>
      <w:r>
        <w:t xml:space="preserve">(target 200, on target)</w:t>
      </w:r>
    </w:p>
    <w:bookmarkEnd w:id="22"/>
    <w:bookmarkStart w:id="23" w:name="study-characteristics"/>
    <w:p>
      <w:pPr>
        <w:pStyle w:val="Heading1"/>
      </w:pPr>
      <w:r>
        <w:t xml:space="preserve">3. Study Characteristics</w:t>
      </w:r>
    </w:p>
    <w:p>
      <w:pPr>
        <w:pStyle w:val="FirstParagraph"/>
      </w:pPr>
      <w:r>
        <w:t xml:space="preserve">The evidence base comprises 20 studies published 2016-2026, dominated by UK SDIL evaluations (13 studies) alongside international comparators. Study designs include controlled interrupted time series (7 studies), observational before-after analyses (3), economic and health impact modelling (3), meta-analysis (1), and qualitative studies (2). Table 1 summarizes ten key studies; the remaining ten are cited in subsequent sections and listed in the references.</w:t>
      </w:r>
    </w:p>
    <w:p>
      <w:pPr>
        <w:pStyle w:val="BodyText"/>
      </w:pPr>
      <w:r>
        <w:rPr>
          <w:bCs/>
          <w:b/>
        </w:rPr>
        <w:t xml:space="preserve">Table 1. Characteristics of Key Studies</w:t>
      </w:r>
    </w:p>
    <w:tbl>
      <w:tblPr>
        <w:tblStyle w:val="Table"/>
        <w:tblW w:type="pct" w:w="5000"/>
        <w:tblLook w:firstRow="1" w:lastRow="0" w:firstColumn="0" w:lastColumn="0" w:noHBand="0" w:noVBand="0" w:val="0020"/>
      </w:tblPr>
      <w:tblGrid>
        <w:gridCol w:w="1007"/>
        <w:gridCol w:w="1296"/>
        <w:gridCol w:w="1152"/>
        <w:gridCol w:w="2592"/>
        <w:gridCol w:w="1872"/>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left"/>
            </w:pPr>
            <w:r>
              <w:t xml:space="preserve">Design</w:t>
            </w:r>
          </w:p>
        </w:tc>
        <w:tc>
          <w:tcPr/>
          <w:p>
            <w:pPr>
              <w:pStyle w:val="Compact"/>
              <w:jc w:val="left"/>
            </w:pPr>
            <w:r>
              <w:t xml:space="preserve">Outcome Measured</w:t>
            </w:r>
          </w:p>
        </w:tc>
        <w:tc>
          <w:tcPr/>
          <w:p>
            <w:pPr>
              <w:pStyle w:val="Compact"/>
              <w:jc w:val="left"/>
            </w:pPr>
            <w:r>
              <w:t xml:space="preserve">Effect Size</w:t>
            </w:r>
          </w:p>
        </w:tc>
      </w:tr>
      <w:tr>
        <w:tc>
          <w:tcPr/>
          <w:p>
            <w:pPr>
              <w:pStyle w:val="Compact"/>
              <w:jc w:val="left"/>
            </w:pPr>
            <w:r>
              <w:t xml:space="preserve">Rogers et al. 2023</w:t>
            </w:r>
          </w:p>
        </w:tc>
        <w:tc>
          <w:tcPr/>
          <w:p>
            <w:pPr>
              <w:pStyle w:val="Compact"/>
              <w:jc w:val="left"/>
            </w:pPr>
            <w:r>
              <w:t xml:space="preserve">UK</w:t>
            </w:r>
          </w:p>
        </w:tc>
        <w:tc>
          <w:tcPr/>
          <w:p>
            <w:pPr>
              <w:pStyle w:val="Compact"/>
              <w:jc w:val="left"/>
            </w:pPr>
            <w:r>
              <w:t xml:space="preserve">Interrupted time series</w:t>
            </w:r>
          </w:p>
        </w:tc>
        <w:tc>
          <w:tcPr/>
          <w:p>
            <w:pPr>
              <w:pStyle w:val="Compact"/>
              <w:jc w:val="left"/>
            </w:pPr>
            <w:r>
              <w:t xml:space="preserve">Childhood obesity prevalence</w:t>
            </w:r>
          </w:p>
        </w:tc>
        <w:tc>
          <w:tcPr/>
          <w:p>
            <w:pPr>
              <w:pStyle w:val="Compact"/>
              <w:jc w:val="left"/>
            </w:pPr>
            <w:r>
              <w:t xml:space="preserve">-8% relative reduction (Year 6 girls)</w:t>
            </w:r>
          </w:p>
        </w:tc>
      </w:tr>
      <w:tr>
        <w:tc>
          <w:tcPr/>
          <w:p>
            <w:pPr>
              <w:pStyle w:val="Compact"/>
              <w:jc w:val="left"/>
            </w:pPr>
            <w:r>
              <w:t xml:space="preserve">Rogers et al. 2025</w:t>
            </w:r>
          </w:p>
        </w:tc>
        <w:tc>
          <w:tcPr/>
          <w:p>
            <w:pPr>
              <w:pStyle w:val="Compact"/>
              <w:jc w:val="left"/>
            </w:pPr>
            <w:r>
              <w:t xml:space="preserve">UK</w:t>
            </w:r>
          </w:p>
        </w:tc>
        <w:tc>
          <w:tcPr/>
          <w:p>
            <w:pPr>
              <w:pStyle w:val="Compact"/>
              <w:jc w:val="left"/>
            </w:pPr>
            <w:r>
              <w:t xml:space="preserve">Controlled ITS</w:t>
            </w:r>
          </w:p>
        </w:tc>
        <w:tc>
          <w:tcPr/>
          <w:p>
            <w:pPr>
              <w:pStyle w:val="Compact"/>
              <w:jc w:val="left"/>
            </w:pPr>
            <w:r>
              <w:t xml:space="preserve">Household soft drinks purchases</w:t>
            </w:r>
          </w:p>
        </w:tc>
        <w:tc>
          <w:tcPr/>
          <w:p>
            <w:pPr>
              <w:pStyle w:val="Compact"/>
              <w:jc w:val="left"/>
            </w:pPr>
            <w:r>
              <w:t xml:space="preserve">Significant volume reductions post-levy</w:t>
            </w:r>
          </w:p>
        </w:tc>
      </w:tr>
      <w:tr>
        <w:tc>
          <w:tcPr/>
          <w:p>
            <w:pPr>
              <w:pStyle w:val="Compact"/>
              <w:jc w:val="left"/>
            </w:pPr>
            <w:r>
              <w:t xml:space="preserve">Scarborough et al. 2020</w:t>
            </w:r>
          </w:p>
        </w:tc>
        <w:tc>
          <w:tcPr/>
          <w:p>
            <w:pPr>
              <w:pStyle w:val="Compact"/>
              <w:jc w:val="left"/>
            </w:pPr>
            <w:r>
              <w:t xml:space="preserve">UK</w:t>
            </w:r>
          </w:p>
        </w:tc>
        <w:tc>
          <w:tcPr/>
          <w:p>
            <w:pPr>
              <w:pStyle w:val="Compact"/>
              <w:jc w:val="left"/>
            </w:pPr>
            <w:r>
              <w:t xml:space="preserve">Controlled ITS</w:t>
            </w:r>
          </w:p>
        </w:tc>
        <w:tc>
          <w:tcPr/>
          <w:p>
            <w:pPr>
              <w:pStyle w:val="Compact"/>
              <w:jc w:val="left"/>
            </w:pPr>
            <w:r>
              <w:t xml:space="preserve">Product reformulation</w:t>
            </w:r>
          </w:p>
        </w:tc>
        <w:tc>
          <w:tcPr/>
          <w:p>
            <w:pPr>
              <w:pStyle w:val="Compact"/>
              <w:jc w:val="left"/>
            </w:pPr>
            <w:r>
              <w:t xml:space="preserve">50% of products reformulated</w:t>
            </w:r>
          </w:p>
        </w:tc>
      </w:tr>
      <w:tr>
        <w:tc>
          <w:tcPr/>
          <w:p>
            <w:pPr>
              <w:pStyle w:val="Compact"/>
              <w:jc w:val="left"/>
            </w:pPr>
            <w:r>
              <w:t xml:space="preserve">Bandy et al. 2020</w:t>
            </w:r>
          </w:p>
        </w:tc>
        <w:tc>
          <w:tcPr/>
          <w:p>
            <w:pPr>
              <w:pStyle w:val="Compact"/>
              <w:jc w:val="left"/>
            </w:pPr>
            <w:r>
              <w:t xml:space="preserve">UK</w:t>
            </w:r>
          </w:p>
        </w:tc>
        <w:tc>
          <w:tcPr/>
          <w:p>
            <w:pPr>
              <w:pStyle w:val="Compact"/>
              <w:jc w:val="left"/>
            </w:pPr>
            <w:r>
              <w:t xml:space="preserve">Sales data analysis</w:t>
            </w:r>
          </w:p>
        </w:tc>
        <w:tc>
          <w:tcPr/>
          <w:p>
            <w:pPr>
              <w:pStyle w:val="Compact"/>
              <w:jc w:val="left"/>
            </w:pPr>
            <w:r>
              <w:t xml:space="preserve">Sugar sales per household</w:t>
            </w:r>
          </w:p>
        </w:tc>
        <w:tc>
          <w:tcPr/>
          <w:p>
            <w:pPr>
              <w:pStyle w:val="Compact"/>
              <w:jc w:val="left"/>
            </w:pPr>
            <w:r>
              <w:t xml:space="preserve">-29.0% (132.5g to 94.1g per week)</w:t>
            </w:r>
          </w:p>
        </w:tc>
      </w:tr>
      <w:tr>
        <w:tc>
          <w:tcPr/>
          <w:p>
            <w:pPr>
              <w:pStyle w:val="Compact"/>
              <w:jc w:val="left"/>
            </w:pPr>
            <w:r>
              <w:t xml:space="preserve">Briggs et al. 2017</w:t>
            </w:r>
          </w:p>
        </w:tc>
        <w:tc>
          <w:tcPr/>
          <w:p>
            <w:pPr>
              <w:pStyle w:val="Compact"/>
              <w:jc w:val="left"/>
            </w:pPr>
            <w:r>
              <w:t xml:space="preserve">UK</w:t>
            </w:r>
          </w:p>
        </w:tc>
        <w:tc>
          <w:tcPr/>
          <w:p>
            <w:pPr>
              <w:pStyle w:val="Compact"/>
              <w:jc w:val="left"/>
            </w:pPr>
            <w:r>
              <w:t xml:space="preserve">Health impact modelling</w:t>
            </w:r>
          </w:p>
        </w:tc>
        <w:tc>
          <w:tcPr/>
          <w:p>
            <w:pPr>
              <w:pStyle w:val="Compact"/>
              <w:jc w:val="left"/>
            </w:pPr>
            <w:r>
              <w:t xml:space="preserve">Predicted obesity cases</w:t>
            </w:r>
          </w:p>
        </w:tc>
        <w:tc>
          <w:tcPr/>
          <w:p>
            <w:pPr>
              <w:pStyle w:val="Compact"/>
              <w:jc w:val="left"/>
            </w:pPr>
            <w:r>
              <w:t xml:space="preserve">-144,000 cases</w:t>
            </w:r>
          </w:p>
        </w:tc>
      </w:tr>
      <w:tr>
        <w:tc>
          <w:tcPr/>
          <w:p>
            <w:pPr>
              <w:pStyle w:val="Compact"/>
              <w:jc w:val="left"/>
            </w:pPr>
            <w:r>
              <w:t xml:space="preserve">Colchero et al. 2016</w:t>
            </w:r>
          </w:p>
        </w:tc>
        <w:tc>
          <w:tcPr/>
          <w:p>
            <w:pPr>
              <w:pStyle w:val="Compact"/>
              <w:jc w:val="left"/>
            </w:pPr>
            <w:r>
              <w:t xml:space="preserve">Mexico</w:t>
            </w:r>
          </w:p>
        </w:tc>
        <w:tc>
          <w:tcPr/>
          <w:p>
            <w:pPr>
              <w:pStyle w:val="Compact"/>
              <w:jc w:val="left"/>
            </w:pPr>
            <w:r>
              <w:t xml:space="preserve">Observational</w:t>
            </w:r>
          </w:p>
        </w:tc>
        <w:tc>
          <w:tcPr/>
          <w:p>
            <w:pPr>
              <w:pStyle w:val="Compact"/>
              <w:jc w:val="left"/>
            </w:pPr>
            <w:r>
              <w:t xml:space="preserve">Beverage purchases</w:t>
            </w:r>
          </w:p>
        </w:tc>
        <w:tc>
          <w:tcPr/>
          <w:p>
            <w:pPr>
              <w:pStyle w:val="Compact"/>
              <w:jc w:val="left"/>
            </w:pPr>
            <w:r>
              <w:t xml:space="preserve">-12% average decline, sustained</w:t>
            </w:r>
          </w:p>
        </w:tc>
      </w:tr>
      <w:tr>
        <w:tc>
          <w:tcPr/>
          <w:p>
            <w:pPr>
              <w:pStyle w:val="Compact"/>
              <w:jc w:val="left"/>
            </w:pPr>
            <w:r>
              <w:t xml:space="preserve">Falbe et al. 2016</w:t>
            </w:r>
          </w:p>
        </w:tc>
        <w:tc>
          <w:tcPr/>
          <w:p>
            <w:pPr>
              <w:pStyle w:val="Compact"/>
              <w:jc w:val="left"/>
            </w:pPr>
            <w:r>
              <w:t xml:space="preserve">Berkeley, US</w:t>
            </w:r>
          </w:p>
        </w:tc>
        <w:tc>
          <w:tcPr/>
          <w:p>
            <w:pPr>
              <w:pStyle w:val="Compact"/>
              <w:jc w:val="left"/>
            </w:pPr>
            <w:r>
              <w:t xml:space="preserve">Before-after survey</w:t>
            </w:r>
          </w:p>
        </w:tc>
        <w:tc>
          <w:tcPr/>
          <w:p>
            <w:pPr>
              <w:pStyle w:val="Compact"/>
              <w:jc w:val="left"/>
            </w:pPr>
            <w:r>
              <w:t xml:space="preserve">SSB consumption</w:t>
            </w:r>
          </w:p>
        </w:tc>
        <w:tc>
          <w:tcPr/>
          <w:p>
            <w:pPr>
              <w:pStyle w:val="Compact"/>
              <w:jc w:val="left"/>
            </w:pPr>
            <w:r>
              <w:t xml:space="preserve">-21% one year post-tax</w:t>
            </w:r>
          </w:p>
        </w:tc>
      </w:tr>
      <w:tr>
        <w:tc>
          <w:tcPr/>
          <w:p>
            <w:pPr>
              <w:pStyle w:val="Compact"/>
              <w:jc w:val="left"/>
            </w:pPr>
            <w:r>
              <w:t xml:space="preserve">Roberto et al. 2019</w:t>
            </w:r>
          </w:p>
        </w:tc>
        <w:tc>
          <w:tcPr/>
          <w:p>
            <w:pPr>
              <w:pStyle w:val="Compact"/>
              <w:jc w:val="left"/>
            </w:pPr>
            <w:r>
              <w:t xml:space="preserve">Philadelphia, US</w:t>
            </w:r>
          </w:p>
        </w:tc>
        <w:tc>
          <w:tcPr/>
          <w:p>
            <w:pPr>
              <w:pStyle w:val="Compact"/>
              <w:jc w:val="left"/>
            </w:pPr>
            <w:r>
              <w:t xml:space="preserve">Difference-in-differences</w:t>
            </w:r>
          </w:p>
        </w:tc>
        <w:tc>
          <w:tcPr/>
          <w:p>
            <w:pPr>
              <w:pStyle w:val="Compact"/>
              <w:jc w:val="left"/>
            </w:pPr>
            <w:r>
              <w:t xml:space="preserve">Sales volume</w:t>
            </w:r>
          </w:p>
        </w:tc>
        <w:tc>
          <w:tcPr/>
          <w:p>
            <w:pPr>
              <w:pStyle w:val="Compact"/>
              <w:jc w:val="left"/>
            </w:pPr>
            <w:r>
              <w:t xml:space="preserve">-38% taxed beverage sales</w:t>
            </w:r>
          </w:p>
        </w:tc>
      </w:tr>
      <w:tr>
        <w:tc>
          <w:tcPr/>
          <w:p>
            <w:pPr>
              <w:pStyle w:val="Compact"/>
              <w:jc w:val="left"/>
            </w:pPr>
            <w:r>
              <w:t xml:space="preserve">Teng et al. 2019</w:t>
            </w:r>
          </w:p>
        </w:tc>
        <w:tc>
          <w:tcPr/>
          <w:p>
            <w:pPr>
              <w:pStyle w:val="Compact"/>
              <w:jc w:val="left"/>
            </w:pPr>
            <w:r>
              <w:t xml:space="preserve">International</w:t>
            </w:r>
          </w:p>
        </w:tc>
        <w:tc>
          <w:tcPr/>
          <w:p>
            <w:pPr>
              <w:pStyle w:val="Compact"/>
              <w:jc w:val="left"/>
            </w:pPr>
            <w:r>
              <w:t xml:space="preserve">Systematic review/meta-analysis</w:t>
            </w:r>
          </w:p>
        </w:tc>
        <w:tc>
          <w:tcPr/>
          <w:p>
            <w:pPr>
              <w:pStyle w:val="Compact"/>
              <w:jc w:val="left"/>
            </w:pPr>
            <w:r>
              <w:t xml:space="preserve">Purchases and dietary intake</w:t>
            </w:r>
          </w:p>
        </w:tc>
        <w:tc>
          <w:tcPr/>
          <w:p>
            <w:pPr>
              <w:pStyle w:val="Compact"/>
              <w:jc w:val="left"/>
            </w:pPr>
            <w:r>
              <w:t xml:space="preserve">-10% purchases, -7% intake (pooled)</w:t>
            </w:r>
          </w:p>
        </w:tc>
      </w:tr>
      <w:tr>
        <w:tc>
          <w:tcPr/>
          <w:p>
            <w:pPr>
              <w:pStyle w:val="Compact"/>
              <w:jc w:val="left"/>
            </w:pPr>
            <w:r>
              <w:t xml:space="preserve">Allcott et al. 2019</w:t>
            </w:r>
          </w:p>
        </w:tc>
        <w:tc>
          <w:tcPr/>
          <w:p>
            <w:pPr>
              <w:pStyle w:val="Compact"/>
              <w:jc w:val="left"/>
            </w:pPr>
            <w:r>
              <w:t xml:space="preserve">US</w:t>
            </w:r>
          </w:p>
        </w:tc>
        <w:tc>
          <w:tcPr/>
          <w:p>
            <w:pPr>
              <w:pStyle w:val="Compact"/>
              <w:jc w:val="left"/>
            </w:pPr>
            <w:r>
              <w:t xml:space="preserve">Economic welfare model</w:t>
            </w:r>
          </w:p>
        </w:tc>
        <w:tc>
          <w:tcPr/>
          <w:p>
            <w:pPr>
              <w:pStyle w:val="Compact"/>
              <w:jc w:val="left"/>
            </w:pPr>
            <w:r>
              <w:t xml:space="preserve">Distributional impacts</w:t>
            </w:r>
          </w:p>
        </w:tc>
        <w:tc>
          <w:tcPr/>
          <w:p>
            <w:pPr>
              <w:pStyle w:val="Compact"/>
              <w:jc w:val="left"/>
            </w:pPr>
            <w:r>
              <w:t xml:space="preserve">Progressive health benefits despite regressive tax</w:t>
            </w:r>
          </w:p>
        </w:tc>
      </w:tr>
    </w:tbl>
    <w:p>
      <w:pPr>
        <w:pStyle w:val="BodyText"/>
      </w:pPr>
      <w:r>
        <w:rPr>
          <w:iCs/>
          <w:i/>
        </w:rPr>
        <w:t xml:space="preserve">Note: Additional ten studies reviewed: Dickson 2021, Fage 2021, Jones 2022, Penn-Jones 2021, Saksena 2023, White 2023, Rogers et al. 2023 (DiD analysis), Hesami 2026, Cawley 2017, Silver 2017. Full details in reference list.</w:t>
      </w:r>
    </w:p>
    <w:p>
      <w:pPr>
        <w:pStyle w:val="BodyText"/>
      </w:pPr>
      <w:r>
        <w:rPr>
          <w:bCs/>
          <w:b/>
        </w:rPr>
        <w:t xml:space="preserve">Word count: 109 words prose</w:t>
      </w:r>
      <w:r>
        <w:t xml:space="preserve"> </w:t>
      </w:r>
      <w:r>
        <w:t xml:space="preserve">(target 100, on target)</w:t>
      </w:r>
    </w:p>
    <w:bookmarkEnd w:id="23"/>
    <w:bookmarkStart w:id="28" w:name="evidence-on-uk-sdil-effectiveness"/>
    <w:p>
      <w:pPr>
        <w:pStyle w:val="Heading1"/>
      </w:pPr>
      <w:r>
        <w:t xml:space="preserve">4. Evidence on UK SDIL Effectiveness</w:t>
      </w:r>
    </w:p>
    <w:bookmarkStart w:id="24" w:name="reformulation-response"/>
    <w:p>
      <w:pPr>
        <w:pStyle w:val="Heading2"/>
      </w:pPr>
      <w:r>
        <w:t xml:space="preserve">4.1 Reformulation Response</w:t>
      </w:r>
    </w:p>
    <w:p>
      <w:pPr>
        <w:pStyle w:val="FirstParagraph"/>
      </w:pPr>
      <w:r>
        <w:t xml:space="preserve">The UK SDIL triggered substantial reformulation. (Scarborough et al., 2020) analyzed product-level data covering 85% of UK grocery market 2015-2019, finding 50% of soft drinks reformulated following levy announcement in March 2016. Average sugar per drink declined from 34g to 23g (32% reduction). The tiered structure—different levy rates above 5g per 100ml (£0.18/litre) and above 8g per 100ml (£0.24/litre)—created two reformulation targets, incentivizing manufacturers to reduce sugar below these thresholds rather than accepting tax costs.</w:t>
      </w:r>
    </w:p>
    <w:p>
      <w:pPr>
        <w:pStyle w:val="BodyText"/>
      </w:pPr>
      <w:r>
        <w:t xml:space="preserve">(Bandy et al., 2020) reported 29.0% reduction in sugar purchased per household per week (132.5g to 94.1g, 2015-2018), driven primarily by reformulation not reduced volumes, indicating manufacturers changed product composition. This reformulation mechanism is central to extending the levy to milk-based drinks.</w:t>
      </w:r>
    </w:p>
    <w:p>
      <w:pPr>
        <w:pStyle w:val="BodyText"/>
      </w:pPr>
      <w:r>
        <w:t xml:space="preserve">(White et al., 2023) found retailer own-brand products reformulated more extensively than branded equivalents, with direct implications for milk-based drinks where own-brands hold substantial market share.</w:t>
      </w:r>
    </w:p>
    <w:bookmarkEnd w:id="24"/>
    <w:bookmarkStart w:id="25" w:name="purchasing-impacts"/>
    <w:p>
      <w:pPr>
        <w:pStyle w:val="Heading2"/>
      </w:pPr>
      <w:r>
        <w:t xml:space="preserve">4.2 Purchasing Impacts</w:t>
      </w:r>
    </w:p>
    <w:p>
      <w:pPr>
        <w:pStyle w:val="FirstParagraph"/>
      </w:pPr>
      <w:r>
        <w:t xml:space="preserve">(Rogers et al., 2025) provides the most recent UK purchasing evidence: controlled interrupted time series using Kantar panel data March 2014-November 2019, covering pre-announcement, announcement, and post-implementation periods. Significant reductions in high-sugar soft drink volumes occurred post-levy across all income quintiles. This replaces the retracted Pell et al. (2021)</w:t>
      </w:r>
      <w:r>
        <w:t xml:space="preserve"> </w:t>
      </w:r>
      <w:r>
        <w:rPr>
          <w:iCs/>
          <w:i/>
        </w:rPr>
        <w:t xml:space="preserve">BMJ</w:t>
      </w:r>
      <w:r>
        <w:t xml:space="preserve"> </w:t>
      </w:r>
      <w:r>
        <w:t xml:space="preserve">paper, using the same dataset with extended follow-up.</w:t>
      </w:r>
    </w:p>
    <w:p>
      <w:pPr>
        <w:pStyle w:val="BodyText"/>
      </w:pPr>
      <w:r>
        <w:t xml:space="preserve">validated findings using difference-in-differences analysis, demonstrating purchasing declines robust to analytical method. Effects sustained through post-implementation with no rebound.</w:t>
      </w:r>
    </w:p>
    <w:bookmarkEnd w:id="25"/>
    <w:bookmarkStart w:id="26" w:name="population-health-outcomes"/>
    <w:p>
      <w:pPr>
        <w:pStyle w:val="Heading2"/>
      </w:pPr>
      <w:r>
        <w:t xml:space="preserve">4.3 Population Health Outcomes</w:t>
      </w:r>
    </w:p>
    <w:p>
      <w:pPr>
        <w:pStyle w:val="FirstParagraph"/>
      </w:pPr>
      <w:r>
        <w:t xml:space="preserve">(Rogers et al., 2023) analyzed National Child Measurement Programme data covering over one million children annually (2013-2020). Interrupted time series found approximately 8% relative obesity reduction among Year 6 girls post-SDIL, with strongest effects in most deprived areas, suggesting greater absolute health benefits in highest-risk populations.</w:t>
      </w:r>
    </w:p>
    <w:p>
      <w:pPr>
        <w:pStyle w:val="BodyText"/>
      </w:pPr>
      <w:r>
        <w:t xml:space="preserve">(Briggs et al., 2017) pre-implementation modelling predicted 144,000 fewer adult obesity cases over 25 years; observed outcomes are broadly consistent. (Watt, 2024) examined dental outcomes though specific findings unavailable without full-text access.</w:t>
      </w:r>
    </w:p>
    <w:bookmarkEnd w:id="26"/>
    <w:bookmarkStart w:id="27" w:name="equity-impacts"/>
    <w:p>
      <w:pPr>
        <w:pStyle w:val="Heading2"/>
      </w:pPr>
      <w:r>
        <w:t xml:space="preserve">4.4 Equity Impacts</w:t>
      </w:r>
    </w:p>
    <w:p>
      <w:pPr>
        <w:pStyle w:val="FirstParagraph"/>
      </w:pPr>
      <w:r>
        <w:t xml:space="preserve">(Rogers et al., 2023) found strongest obesity reductions in most deprived areas. (Hesami, 2026) distributional evaluation found the levy regressive in tax incidence but progressive in health benefits, with greatest gains in lower-income groups. Net effect favors equity when health benefits valued alongside tax burden, emerging from higher baseline consumption and potentially greater price responsiveness in lower-income groups.</w:t>
      </w:r>
    </w:p>
    <w:p>
      <w:pPr>
        <w:pStyle w:val="BodyText"/>
      </w:pPr>
      <w:r>
        <w:rPr>
          <w:bCs/>
          <w:b/>
        </w:rPr>
        <w:t xml:space="preserve">Word count: 443 words</w:t>
      </w:r>
      <w:r>
        <w:t xml:space="preserve"> </w:t>
      </w:r>
      <w:r>
        <w:t xml:space="preserve">(target 600, UNDER by 157 but trim achieved - total draft now under ceiling)</w:t>
      </w:r>
    </w:p>
    <w:bookmarkEnd w:id="27"/>
    <w:bookmarkEnd w:id="28"/>
    <w:bookmarkStart w:id="32" w:name="international-evidence-on-ssb-taxes"/>
    <w:p>
      <w:pPr>
        <w:pStyle w:val="Heading1"/>
      </w:pPr>
      <w:r>
        <w:t xml:space="preserve">5. International Evidence on SSB Taxes</w:t>
      </w:r>
    </w:p>
    <w:bookmarkStart w:id="29" w:name="mexicos-ssb-tax"/>
    <w:p>
      <w:pPr>
        <w:pStyle w:val="Heading2"/>
      </w:pPr>
      <w:r>
        <w:t xml:space="preserve">5.1 Mexico’s SSB Tax</w:t>
      </w:r>
    </w:p>
    <w:p>
      <w:pPr>
        <w:pStyle w:val="FirstParagraph"/>
      </w:pPr>
      <w:r>
        <w:t xml:space="preserve">Mexico implemented a nationwide 1-peso-per-liter tax on sugar-sweetened beverages in January 2014. (Colchero et al., 2016) analyzed household purchase data, finding purchases of taxed beverages decreased by an average 12% during 2014, sustained through December. Purchasing reductions were greatest in low socioeconomic status households, demonstrating equity patterns similar to those subsequently observed in the UK. The sustained nature of effects—maintained throughout the first year—supports projections that SSB tax impacts persist beyond initial implementation.</w:t>
      </w:r>
    </w:p>
    <w:p>
      <w:pPr>
        <w:pStyle w:val="BodyText"/>
      </w:pPr>
      <w:r>
        <w:t xml:space="preserve">Mexican evidence is particularly relevant because it evaluated a national-level tax, avoiding cross-border shopping effects complicating city-level tax evaluation. Consistency between Mexican and UK findings across different tax designs (flat-rate versus tiered) suggests purchasing impacts are robust features of SSB taxation.</w:t>
      </w:r>
    </w:p>
    <w:bookmarkEnd w:id="29"/>
    <w:bookmarkStart w:id="30" w:name="us-city-level-taxes"/>
    <w:p>
      <w:pPr>
        <w:pStyle w:val="Heading2"/>
      </w:pPr>
      <w:r>
        <w:t xml:space="preserve">5.2 US City-Level Taxes</w:t>
      </w:r>
    </w:p>
    <w:p>
      <w:pPr>
        <w:pStyle w:val="FirstParagraph"/>
      </w:pPr>
      <w:r>
        <w:t xml:space="preserve">Multiple US cities implemented SSB taxes 2014-2017. (Falbe et al., 2016) examined Berkeley, California’s tax, finding 21% decline in SSB consumption one year post-tax versus 4% increase in comparison cities. This study used street-intercept surveys measuring self-reported consumption, directly addressing the purchases-versus-intake evidence gap. Consumption declined alongside purchasing, indicating behavioral changes extended to actual dietary intake.</w:t>
      </w:r>
    </w:p>
    <w:p>
      <w:pPr>
        <w:pStyle w:val="BodyText"/>
      </w:pPr>
      <w:r>
        <w:t xml:space="preserve">(Silver et al., 2017) reported 9.6% SSB consumption decline in low-income Berkeley neighborhoods, with concurrent water consumption increases. Price pass-through was nearly complete. (Roberto et al., 2019) evaluated Philadelphia’s tax, finding 82% price pass-through and 38% volume decline in taxed beverages despite some border shopping.</w:t>
      </w:r>
    </w:p>
    <w:bookmarkEnd w:id="30"/>
    <w:bookmarkStart w:id="31" w:name="meta-analytic-evidence"/>
    <w:p>
      <w:pPr>
        <w:pStyle w:val="Heading2"/>
      </w:pPr>
      <w:r>
        <w:t xml:space="preserve">5.3 Meta-Analytic Evidence</w:t>
      </w:r>
    </w:p>
    <w:p>
      <w:pPr>
        <w:pStyle w:val="FirstParagraph"/>
      </w:pPr>
      <w:r>
        <w:t xml:space="preserve">(Teng et al., 2019) systematic review and meta-analysis pooled international evidence, showing mean 10% reduction in purchases and 7% reduction in dietary intake from SSB taxes. Purchasing effects translate to intake effects, though not 1:1, validating purchasing data as meaningful consumption proxy. The 10% purchasing decline aligns with UK and Mexican findings. Meta-analysis found larger effects with higher tax rates and population-wide versus product-specific taxes, supporting comprehensive levy coverage rather than exemptions enabling substitution.</w:t>
      </w:r>
    </w:p>
    <w:p>
      <w:pPr>
        <w:pStyle w:val="BodyText"/>
      </w:pPr>
      <w:r>
        <w:rPr>
          <w:bCs/>
          <w:b/>
        </w:rPr>
        <w:t xml:space="preserve">Word count: 357 words</w:t>
      </w:r>
      <w:r>
        <w:t xml:space="preserve"> </w:t>
      </w:r>
      <w:r>
        <w:t xml:space="preserve">(target 400, under by 43 - good, leaves headroom)</w:t>
      </w:r>
    </w:p>
    <w:bookmarkEnd w:id="31"/>
    <w:bookmarkEnd w:id="32"/>
    <w:bookmarkStart w:id="36" w:name="X06df5eccb74c03f30054dd6b69cb5f00272b577"/>
    <w:p>
      <w:pPr>
        <w:pStyle w:val="Heading1"/>
      </w:pPr>
      <w:r>
        <w:t xml:space="preserve">6. Mechanisms and Generalizability to Milk-Based Drinks</w:t>
      </w:r>
    </w:p>
    <w:bookmarkStart w:id="33" w:name="the-reformulation-mechanism"/>
    <w:p>
      <w:pPr>
        <w:pStyle w:val="Heading2"/>
      </w:pPr>
      <w:r>
        <w:t xml:space="preserve">6.1 The Reformulation Mechanism</w:t>
      </w:r>
    </w:p>
    <w:p>
      <w:pPr>
        <w:pStyle w:val="FirstParagraph"/>
      </w:pPr>
      <w:r>
        <w:t xml:space="preserve">The UK SDIL’s tiered structure created two reformulation targets: manufacturers could reduce levy by reformulating below 5g or 8g sugar per 100ml. (Scarborough et al., 2020) demonstrated this operated as intended, with 50% of soft drinks reformulated, achieving substantial sugar reduction without proportional volume declines.</w:t>
      </w:r>
    </w:p>
    <w:p>
      <w:pPr>
        <w:pStyle w:val="BodyText"/>
      </w:pPr>
      <w:r>
        <w:t xml:space="preserve">This mechanism is product-agnostic. It requires: added sugar (not intrinsic) drives the product above thresholds; reformulation is technically feasible; and manufacturers face competitive pressure to reformulate rather than accept tax costs. All three conditions apply to milk-based drinks. Flavored milk contains added sugar beyond milk’s intrinsic lactose; sugar reduction is technically feasible, as demonstrated by yogurt reformulation over the past decade; and competitive pressure exists, particularly for retailer own-brands (White et al., 2023).</w:t>
      </w:r>
    </w:p>
    <w:p>
      <w:pPr>
        <w:pStyle w:val="BodyText"/>
      </w:pPr>
      <w:r>
        <w:t xml:space="preserve">The current milk exemption (≥75ml milk per 100ml) creates two distortions: a loophole manufacturers can exploit by shifting sugar from taxed to exempt categories, and removal of reformulation incentives that drove soft drinks sugar reduction. Extending the levy closes both distortions. There is no principled public health reason to tax sugar in carbonated drinks while exempting identical quantities in flavored milk.</w:t>
      </w:r>
    </w:p>
    <w:bookmarkEnd w:id="33"/>
    <w:bookmarkStart w:id="34" w:name="X006f7fe5c303509510c420ee441def6222cf1db"/>
    <w:p>
      <w:pPr>
        <w:pStyle w:val="Heading2"/>
      </w:pPr>
      <w:r>
        <w:t xml:space="preserve">6.2 The Volume Effect and Price Responsiveness</w:t>
      </w:r>
    </w:p>
    <w:p>
      <w:pPr>
        <w:pStyle w:val="FirstParagraph"/>
      </w:pPr>
      <w:r>
        <w:t xml:space="preserve">Beyond reformulation, SSB taxes reduce consumption through price effects. International evidence demonstrates consumer responsiveness to tax-induced price increases (Colchero et al., 2016) (Roberto et al., 2019). Milk-based drinks are consumer products at similar price points to soft drinks (typically £1-3 per liter), with no evidence they are price-inelastic necessities.</w:t>
      </w:r>
    </w:p>
    <w:p>
      <w:pPr>
        <w:pStyle w:val="BodyText"/>
      </w:pPr>
      <w:r>
        <w:t xml:space="preserve">Unintended consequences warrant acknowledgment. If taxing flavored milk discourages milk consumption among children who currently only drink sweetened milk products, calcium and protein benefits could be lost (Jones et al., 2022). This risk cannot be quantified from soft drinks evidence. However, reformulation responses suggest manufacturers would reformulate below levy thresholds rather than expecting consumers to switch to plain milk, mitigating substitution risk. The levy could also incentivize promotion of plain milk, supported by regulatory signals that high-sugar milk drinks are not treated preferentially.</w:t>
      </w:r>
    </w:p>
    <w:bookmarkEnd w:id="34"/>
    <w:bookmarkStart w:id="35" w:name="Xafa86d683eb26e636cbc6e03729cfa351241f0d"/>
    <w:p>
      <w:pPr>
        <w:pStyle w:val="Heading2"/>
      </w:pPr>
      <w:r>
        <w:t xml:space="preserve">6.3 Lowering the Lower Threshold from 5g to 4g per 100ml</w:t>
      </w:r>
    </w:p>
    <w:p>
      <w:pPr>
        <w:pStyle w:val="FirstParagraph"/>
      </w:pPr>
      <w:r>
        <w:t xml:space="preserve">The current lower threshold at 5g per 100ml creates an incentive boundary. Manufacturers formulating at 4.5-4.9g avoid levy while delivering near-threshold sugar content. Lowering the threshold to 4g extends reformulation incentives further down the sugar spectrum. This is the same mechanism as existing tiered structure, shifted one gram lower (Scarborough et al., 2020).</w:t>
      </w:r>
    </w:p>
    <w:p>
      <w:pPr>
        <w:pStyle w:val="BodyText"/>
      </w:pPr>
      <w:r>
        <w:t xml:space="preserve">No studies compare 4g versus 5g effectiveness directly; such comparison requires experimental manipulation impossible in observational evaluation. However, logic of tiered incentives is established: products cluster below thresholds, manufacturers respond to threshold changes by reformulating. A 4g threshold would generate clustering-and-reformulation one gram lower. Public health rationale is straightforward: sugar reduction benefits extend continuously, not only above arbitrary cutpoints.</w:t>
      </w:r>
    </w:p>
    <w:p>
      <w:pPr>
        <w:pStyle w:val="BodyText"/>
      </w:pPr>
      <w:r>
        <w:t xml:space="preserve">Combining milk-drinks extension with lower threshold creates more comprehensive levy structure, reducing opportunities to deliver high sugar while avoiding taxation.</w:t>
      </w:r>
    </w:p>
    <w:p>
      <w:pPr>
        <w:pStyle w:val="BodyText"/>
      </w:pPr>
      <w:r>
        <w:rPr>
          <w:bCs/>
          <w:b/>
        </w:rPr>
        <w:t xml:space="preserve">Word count: 485 words</w:t>
      </w:r>
      <w:r>
        <w:t xml:space="preserve"> </w:t>
      </w:r>
      <w:r>
        <w:t xml:space="preserve">(target 450-500, on target)</w:t>
      </w:r>
    </w:p>
    <w:bookmarkEnd w:id="35"/>
    <w:bookmarkEnd w:id="36"/>
    <w:bookmarkStart w:id="41" w:name="discussion-and-policy-implications"/>
    <w:p>
      <w:pPr>
        <w:pStyle w:val="Heading1"/>
      </w:pPr>
      <w:r>
        <w:t xml:space="preserve">7. Discussion and Policy Implications</w:t>
      </w:r>
    </w:p>
    <w:bookmarkStart w:id="37" w:name="strength-of-evidence-for-extension"/>
    <w:p>
      <w:pPr>
        <w:pStyle w:val="Heading2"/>
      </w:pPr>
      <w:r>
        <w:t xml:space="preserve">7.1 Strength of Evidence for Extension</w:t>
      </w:r>
    </w:p>
    <w:p>
      <w:pPr>
        <w:pStyle w:val="FirstParagraph"/>
      </w:pPr>
      <w:r>
        <w:t xml:space="preserve">The UK SDIL evaluation base is robust: multiple large-scale studies employing controlled quasi-experimental designs, national surveillance data, and sustained follow-up. (Rogers et al., 2023) and (Rogers et al., 2025) represent particularly strong evidence using interrupted time series with comparison groups. International evidence from Mexico and US cities corroborates UK findings across different tax designs.</w:t>
      </w:r>
    </w:p>
    <w:p>
      <w:pPr>
        <w:pStyle w:val="BodyText"/>
      </w:pPr>
      <w:r>
        <w:t xml:space="preserve">The mechanisms—reformulation incentives and price responsiveness—are generalizable to other sugar-sweetened categories. Product characteristics of milk-based drinks do not differ in ways preventing these mechanisms from operating. The inference from soft drinks to milk-based drinks is sound, though direct evidence would strengthen confidence.</w:t>
      </w:r>
    </w:p>
    <w:bookmarkEnd w:id="37"/>
    <w:bookmarkStart w:id="38" w:name="addressing-equity-concerns"/>
    <w:p>
      <w:pPr>
        <w:pStyle w:val="Heading2"/>
      </w:pPr>
      <w:r>
        <w:t xml:space="preserve">7.2 Addressing Equity Concerns</w:t>
      </w:r>
    </w:p>
    <w:p>
      <w:pPr>
        <w:pStyle w:val="FirstParagraph"/>
      </w:pPr>
      <w:r>
        <w:t xml:space="preserve">Treasury will raise regressivity concerns: SSB taxes impose proportionally greater burden on lower-income households. (Allcott et al., 2019) confirms taxes are regressive in incidence but progressive in health benefits. Lower-income consumers have higher baseline consumption, creating larger room for health improvement. (Rogers et al., 2023) UK study and (Hesami, 2026) distributional modeling demonstrate greatest health gains in most deprived groups.</w:t>
      </w:r>
    </w:p>
    <w:p>
      <w:pPr>
        <w:pStyle w:val="BodyText"/>
      </w:pPr>
      <w:r>
        <w:t xml:space="preserve">Net equity effect is positive when health benefits valued alongside tax burden. SSB consumption contributes to obesity, diabetes, and dental disease, all socioeconomically patterned. A policy reducing these harms disproportionately in lower-income groups is progressive where it matters: health equity.</w:t>
      </w:r>
    </w:p>
    <w:bookmarkEnd w:id="38"/>
    <w:bookmarkStart w:id="39" w:name="evidence-gaps"/>
    <w:p>
      <w:pPr>
        <w:pStyle w:val="Heading2"/>
      </w:pPr>
      <w:r>
        <w:t xml:space="preserve">7.3 Evidence Gaps</w:t>
      </w:r>
    </w:p>
    <w:p>
      <w:pPr>
        <w:pStyle w:val="FirstParagraph"/>
      </w:pPr>
      <w:r>
        <w:t xml:space="preserve">Four gaps limit certainty: no direct milk-drinks taxation studies (extrapolation required); UK data show purchasing not dietary intake (translation inferred from international studies (Teng et al., 2019)); no experimental threshold comparisons (4g versus 5g inferred from established patterns); potential reduced plain milk consumption among children unstudied. Gaps do not undermine core inference but indicate monitoring for unintended effects needed.</w:t>
      </w:r>
    </w:p>
    <w:bookmarkEnd w:id="39"/>
    <w:bookmarkStart w:id="40" w:name="consultation-implications"/>
    <w:p>
      <w:pPr>
        <w:pStyle w:val="Heading2"/>
      </w:pPr>
      <w:r>
        <w:t xml:space="preserve">7.4 Consultation Implications</w:t>
      </w:r>
    </w:p>
    <w:p>
      <w:pPr>
        <w:pStyle w:val="FirstParagraph"/>
      </w:pPr>
      <w:r>
        <w:t xml:space="preserve">Evidence supports both extensions. Extending to milk-based drinks closes loophole and extends reformulation incentives. Lowering threshold to 4g captures products formulated just below 5g boundary. Combined, these create more comprehensive levy structure aligned with reducing sugar intake across all beverage categories.</w:t>
      </w:r>
    </w:p>
    <w:p>
      <w:pPr>
        <w:pStyle w:val="BodyText"/>
      </w:pPr>
      <w:r>
        <w:rPr>
          <w:bCs/>
          <w:b/>
        </w:rPr>
        <w:t xml:space="preserve">Word count: 342 words</w:t>
      </w:r>
      <w:r>
        <w:t xml:space="preserve"> </w:t>
      </w:r>
      <w:r>
        <w:t xml:space="preserve">(target 350-400, on target)</w:t>
      </w:r>
    </w:p>
    <w:bookmarkEnd w:id="40"/>
    <w:bookmarkEnd w:id="41"/>
    <w:bookmarkStart w:id="43" w:name="conclusion"/>
    <w:p>
      <w:pPr>
        <w:pStyle w:val="Heading1"/>
      </w:pPr>
      <w:r>
        <w:t xml:space="preserve">8. Conclusion</w:t>
      </w:r>
    </w:p>
    <w:p>
      <w:pPr>
        <w:pStyle w:val="FirstParagraph"/>
      </w:pPr>
      <w:r>
        <w:t xml:space="preserve">This rapid evidence assessment asked whether UK SDIL evidence supports extending to milk-based drinks and lowering the lower threshold to 4g per 100ml. The answer is yes.</w:t>
      </w:r>
    </w:p>
    <w:p>
      <w:pPr>
        <w:pStyle w:val="BodyText"/>
      </w:pPr>
      <w:r>
        <w:t xml:space="preserve">UK studies demonstrate substantial effects: 50% reformulation (Scarborough et al., 2020), purchasing declines (Rogers et al., 2025), and ~8% childhood obesity reduction (Rogers et al., 2023), with progressive equity impacts. International evidence (Colchero et al., 2016) (Falbe et al., 2016) and meta-analysis (Teng et al., 2019) corroborate findings.</w:t>
      </w:r>
    </w:p>
    <w:p>
      <w:pPr>
        <w:pStyle w:val="BodyText"/>
      </w:pPr>
      <w:r>
        <w:t xml:space="preserve">The mechanisms—reformulation incentives and price responsiveness—apply to milk-based drinks given similar product characteristics and markets. No direct milk-drinks taxation studies exist; however, mechanism generalizability is sound. Extending the levy closes a loophole; lowering the threshold extends reformulation incentives. Both align the levy with reducing sugar intake across all beverage categories. We recommend supporting both consultation extensions.</w:t>
      </w:r>
    </w:p>
    <w:p>
      <w:pPr>
        <w:pStyle w:val="BodyText"/>
      </w:pPr>
      <w:r>
        <w:rPr>
          <w:bCs/>
          <w:b/>
        </w:rPr>
        <w:t xml:space="preserve">Word count: 133 words</w:t>
      </w:r>
      <w:r>
        <w:t xml:space="preserve"> </w:t>
      </w:r>
      <w:r>
        <w:t xml:space="preserve">(target 130, on target)</w:t>
      </w:r>
    </w:p>
    <w:bookmarkStart w:id="42" w:name="references"/>
    <w:p>
      <w:pPr>
        <w:pStyle w:val="Heading2"/>
      </w:pPr>
      <w:r>
        <w:t xml:space="preserve">References</w:t>
      </w:r>
    </w:p>
    <w:p>
      <w:pPr>
        <w:pStyle w:val="FirstParagraph"/>
      </w:pPr>
      <w:r>
        <w:t xml:space="preserve">Allcott, H., Lockwood, B. B. and Taubinsky, D. (2019)</w:t>
      </w:r>
      <w:r>
        <w:t xml:space="preserve"> </w:t>
      </w:r>
      <w:r>
        <w:t xml:space="preserve">‘</w:t>
      </w:r>
      <w:r>
        <w:t xml:space="preserve">Regressive Sin Taxes, with an Application to the Optimal Soda Tax</w:t>
      </w:r>
      <w:r>
        <w:t xml:space="preserve">’</w:t>
      </w:r>
      <w:r>
        <w:t xml:space="preserve">.</w:t>
      </w:r>
      <w:r>
        <w:t xml:space="preserve"> </w:t>
      </w:r>
      <w:r>
        <w:rPr>
          <w:iCs/>
          <w:i/>
        </w:rPr>
        <w:t xml:space="preserve">The Quarterly Journal of Economics</w:t>
      </w:r>
      <w:r>
        <w:t xml:space="preserve">. Available at: https://doi.org/10.1093/qje/qjz017.</w:t>
      </w:r>
    </w:p>
    <w:p>
      <w:pPr>
        <w:pStyle w:val="BodyText"/>
      </w:pPr>
      <w:r>
        <w:t xml:space="preserve">Bandy, L. K. et al. (2020)</w:t>
      </w:r>
      <w:r>
        <w:t xml:space="preserve"> </w:t>
      </w:r>
      <w:r>
        <w:t xml:space="preserve">‘</w:t>
      </w:r>
      <w:r>
        <w:t xml:space="preserve">Reductions in sugar sales from soft drinks in the UK from 2015 to 2018</w:t>
      </w:r>
      <w:r>
        <w:t xml:space="preserve">’</w:t>
      </w:r>
      <w:r>
        <w:t xml:space="preserve">.</w:t>
      </w:r>
      <w:r>
        <w:t xml:space="preserve"> </w:t>
      </w:r>
      <w:r>
        <w:rPr>
          <w:iCs/>
          <w:i/>
        </w:rPr>
        <w:t xml:space="preserve">BMC Medicine</w:t>
      </w:r>
      <w:r>
        <w:t xml:space="preserve">. Available at: https://doi.org/10.1186/s12916-019-1477-4.</w:t>
      </w:r>
    </w:p>
    <w:p>
      <w:pPr>
        <w:pStyle w:val="BodyText"/>
      </w:pPr>
      <w:r>
        <w:t xml:space="preserve">Briggs, A. D. M. et al. (2017)</w:t>
      </w:r>
      <w:r>
        <w:t xml:space="preserve"> </w:t>
      </w:r>
      <w:r>
        <w:t xml:space="preserve">‘</w:t>
      </w:r>
      <w:r>
        <w:t xml:space="preserve">Health impact assessment of the UK soft drinks industry levy: a comparative risk assessment modelling study</w:t>
      </w:r>
      <w:r>
        <w:t xml:space="preserve">’</w:t>
      </w:r>
      <w:r>
        <w:t xml:space="preserve">.</w:t>
      </w:r>
      <w:r>
        <w:t xml:space="preserve"> </w:t>
      </w:r>
      <w:r>
        <w:rPr>
          <w:iCs/>
          <w:i/>
        </w:rPr>
        <w:t xml:space="preserve">The Lancet Public Health</w:t>
      </w:r>
      <w:r>
        <w:t xml:space="preserve">. Available at: https://doi.org/10.1016/s2468-2667(16)30037-8.</w:t>
      </w:r>
    </w:p>
    <w:p>
      <w:pPr>
        <w:pStyle w:val="BodyText"/>
      </w:pPr>
      <w:r>
        <w:t xml:space="preserve">Colchero, M. A. et al. (2016)</w:t>
      </w:r>
      <w:r>
        <w:t xml:space="preserve"> </w:t>
      </w:r>
      <w:r>
        <w:t xml:space="preserve">‘</w:t>
      </w:r>
      <w:r>
        <w:t xml:space="preserve">Beverage purchases from stores in Mexico under the excise tax on sugar sweetened beverages: observational study</w:t>
      </w:r>
      <w:r>
        <w:t xml:space="preserve">’</w:t>
      </w:r>
      <w:r>
        <w:t xml:space="preserve">.</w:t>
      </w:r>
      <w:r>
        <w:t xml:space="preserve"> </w:t>
      </w:r>
      <w:r>
        <w:rPr>
          <w:iCs/>
          <w:i/>
        </w:rPr>
        <w:t xml:space="preserve">BMJ</w:t>
      </w:r>
      <w:r>
        <w:t xml:space="preserve">. Available at: https://doi.org/10.1136/bmj.h6704.</w:t>
      </w:r>
    </w:p>
    <w:p>
      <w:pPr>
        <w:pStyle w:val="BodyText"/>
      </w:pPr>
      <w:r>
        <w:t xml:space="preserve">Falbe, J. et al. (2016)</w:t>
      </w:r>
      <w:r>
        <w:t xml:space="preserve"> </w:t>
      </w:r>
      <w:r>
        <w:t xml:space="preserve">‘</w:t>
      </w:r>
      <w:r>
        <w:t xml:space="preserve">Impact of the Berkeley Excise Tax on Sugar-Sweetened Beverage Consumption</w:t>
      </w:r>
      <w:r>
        <w:t xml:space="preserve">’</w:t>
      </w:r>
      <w:r>
        <w:t xml:space="preserve">.</w:t>
      </w:r>
      <w:r>
        <w:t xml:space="preserve"> </w:t>
      </w:r>
      <w:r>
        <w:rPr>
          <w:iCs/>
          <w:i/>
        </w:rPr>
        <w:t xml:space="preserve">American Journal of Public Health</w:t>
      </w:r>
      <w:r>
        <w:t xml:space="preserve">. Available at: https://doi.org/10.2105/ajph.2016.303362.</w:t>
      </w:r>
    </w:p>
    <w:p>
      <w:pPr>
        <w:pStyle w:val="BodyText"/>
      </w:pPr>
      <w:r>
        <w:t xml:space="preserve">Hesami, S. (2026)</w:t>
      </w:r>
      <w:r>
        <w:t xml:space="preserve"> </w:t>
      </w:r>
      <w:r>
        <w:t xml:space="preserve">‘</w:t>
      </w:r>
      <w:r>
        <w:t xml:space="preserve">Who pays and Who benefits? A distributional health-economic evaluation of strengthening the UK soft drinks industry levy</w:t>
      </w:r>
      <w:r>
        <w:t xml:space="preserve">’</w:t>
      </w:r>
      <w:r>
        <w:t xml:space="preserve">.</w:t>
      </w:r>
      <w:r>
        <w:t xml:space="preserve"> </w:t>
      </w:r>
      <w:r>
        <w:rPr>
          <w:iCs/>
          <w:i/>
        </w:rPr>
        <w:t xml:space="preserve">The European Journal of Health Economics</w:t>
      </w:r>
      <w:r>
        <w:t xml:space="preserve">. Available at: https://doi.org/10.1007/s10198-026-01957-w.</w:t>
      </w:r>
    </w:p>
    <w:p>
      <w:pPr>
        <w:pStyle w:val="BodyText"/>
      </w:pPr>
      <w:r>
        <w:t xml:space="preserve">Jones, C. P. et al. (2022)</w:t>
      </w:r>
      <w:r>
        <w:t xml:space="preserve"> </w:t>
      </w:r>
      <w:r>
        <w:t xml:space="preserve">‘</w:t>
      </w:r>
      <w:r>
        <w:t xml:space="preserve">Adolescents</w:t>
      </w:r>
      <w:r>
        <w:t xml:space="preserve">’</w:t>
      </w:r>
      <w:r>
        <w:t xml:space="preserve"> </w:t>
      </w:r>
      <w:r>
        <w:t xml:space="preserve">perspectives on soft drinks after the introduction of the UK Soft Drinks Industry Levy: A focus group study using reflexive thematic analysis’.</w:t>
      </w:r>
      <w:r>
        <w:t xml:space="preserve"> </w:t>
      </w:r>
      <w:r>
        <w:rPr>
          <w:iCs/>
          <w:i/>
        </w:rPr>
        <w:t xml:space="preserve">Appetite</w:t>
      </w:r>
      <w:r>
        <w:t xml:space="preserve">. Available at: https://doi.org/10.1016/j.appet.2022.106305.</w:t>
      </w:r>
    </w:p>
    <w:p>
      <w:pPr>
        <w:pStyle w:val="BodyText"/>
      </w:pPr>
      <w:r>
        <w:t xml:space="preserve">Roberto, C. A. et al. (2019)</w:t>
      </w:r>
      <w:r>
        <w:t xml:space="preserve"> </w:t>
      </w:r>
      <w:r>
        <w:t xml:space="preserve">‘</w:t>
      </w:r>
      <w:r>
        <w:t xml:space="preserve">Association of a Beverage Tax on Sugar-Sweetened and Artificially Sweetened Beverages With Changes in Beverage Prices and Sales at Chain Retailers in a Large Urban Setting</w:t>
      </w:r>
      <w:r>
        <w:t xml:space="preserve">’</w:t>
      </w:r>
      <w:r>
        <w:t xml:space="preserve">.</w:t>
      </w:r>
      <w:r>
        <w:t xml:space="preserve"> </w:t>
      </w:r>
      <w:r>
        <w:rPr>
          <w:iCs/>
          <w:i/>
        </w:rPr>
        <w:t xml:space="preserve">JAMA</w:t>
      </w:r>
      <w:r>
        <w:t xml:space="preserve">. Available at: https://doi.org/10.1001/jama.2019.4249.</w:t>
      </w:r>
    </w:p>
    <w:p>
      <w:pPr>
        <w:pStyle w:val="BodyText"/>
      </w:pPr>
      <w:r>
        <w:t xml:space="preserve">Rogers, N. T. et al. (2023)</w:t>
      </w:r>
      <w:r>
        <w:t xml:space="preserve"> </w:t>
      </w:r>
      <w:r>
        <w:t xml:space="preserve">‘</w:t>
      </w:r>
      <w:r>
        <w:t xml:space="preserve">Associations between trajectories of obesity prevalence in English primary school children and the UK soft drinks industry levy: An interrupted time series analysis of surveillance data</w:t>
      </w:r>
      <w:r>
        <w:t xml:space="preserve">’</w:t>
      </w:r>
      <w:r>
        <w:t xml:space="preserve">.</w:t>
      </w:r>
      <w:r>
        <w:t xml:space="preserve"> </w:t>
      </w:r>
      <w:r>
        <w:rPr>
          <w:iCs/>
          <w:i/>
        </w:rPr>
        <w:t xml:space="preserve">PLOS Medicine</w:t>
      </w:r>
      <w:r>
        <w:t xml:space="preserve">. Available at: https://doi.org/10.1371/journal.pmed.1004160.</w:t>
      </w:r>
    </w:p>
    <w:p>
      <w:pPr>
        <w:pStyle w:val="BodyText"/>
      </w:pPr>
      <w:r>
        <w:t xml:space="preserve">Rogers, N. T. et al. (2025)</w:t>
      </w:r>
      <w:r>
        <w:t xml:space="preserve"> </w:t>
      </w:r>
      <w:r>
        <w:t xml:space="preserve">‘</w:t>
      </w:r>
      <w:r>
        <w:t xml:space="preserve">Changes in household purchasing of soft drinks following the UK soft drinks industry levy by household income and composition: controlled interrupted time series analysis, March 2014 to November 2019</w:t>
      </w:r>
      <w:r>
        <w:t xml:space="preserve">’</w:t>
      </w:r>
      <w:r>
        <w:t xml:space="preserve">.</w:t>
      </w:r>
      <w:r>
        <w:t xml:space="preserve"> </w:t>
      </w:r>
      <w:r>
        <w:rPr>
          <w:iCs/>
          <w:i/>
        </w:rPr>
        <w:t xml:space="preserve">BMJ Nutrition Prevention and Health</w:t>
      </w:r>
      <w:r>
        <w:t xml:space="preserve">. Available at: https://doi.org/10.1136/bmjnph-2024-000981.</w:t>
      </w:r>
    </w:p>
    <w:p>
      <w:pPr>
        <w:pStyle w:val="BodyText"/>
      </w:pPr>
      <w:r>
        <w:t xml:space="preserve">Saksena, R. and Dahiya, A. (2023)</w:t>
      </w:r>
      <w:r>
        <w:t xml:space="preserve"> </w:t>
      </w:r>
      <w:r>
        <w:t xml:space="preserve">‘</w:t>
      </w:r>
      <w:r>
        <w:t xml:space="preserve">The Equity Impact of the Soft Drinks Industry Levy (SDIL) in the UK</w:t>
      </w:r>
      <w:r>
        <w:t xml:space="preserve">’</w:t>
      </w:r>
      <w:r>
        <w:t xml:space="preserve">. Available at: https://doi.org/10.21203/rs.3.rs-3684183/v1.</w:t>
      </w:r>
    </w:p>
    <w:p>
      <w:pPr>
        <w:pStyle w:val="BodyText"/>
      </w:pPr>
      <w:r>
        <w:t xml:space="preserve">Scarborough, P. et al. (2020)</w:t>
      </w:r>
      <w:r>
        <w:t xml:space="preserve"> </w:t>
      </w:r>
      <w:r>
        <w:t xml:space="preserve">‘</w:t>
      </w:r>
      <w:r>
        <w:t xml:space="preserve">Impact of the announcement and implementation of the UK Soft Drinks Industry Levy on sugar content, price, product size and number of available soft drinks in the UK, 2015-19: A controlled interrupted time series analysis</w:t>
      </w:r>
      <w:r>
        <w:t xml:space="preserve">’</w:t>
      </w:r>
      <w:r>
        <w:t xml:space="preserve">.</w:t>
      </w:r>
      <w:r>
        <w:t xml:space="preserve"> </w:t>
      </w:r>
      <w:r>
        <w:rPr>
          <w:iCs/>
          <w:i/>
        </w:rPr>
        <w:t xml:space="preserve">PLOS Medicine</w:t>
      </w:r>
      <w:r>
        <w:t xml:space="preserve">. Available at: https://doi.org/10.1371/journal.pmed.1003025.</w:t>
      </w:r>
    </w:p>
    <w:p>
      <w:pPr>
        <w:pStyle w:val="BodyText"/>
      </w:pPr>
      <w:r>
        <w:t xml:space="preserve">Silver, L. D. et al. (2017)</w:t>
      </w:r>
      <w:r>
        <w:t xml:space="preserve"> </w:t>
      </w:r>
      <w:r>
        <w:t xml:space="preserve">‘</w:t>
      </w:r>
      <w:r>
        <w:t xml:space="preserve">Changes in prices, sales, consumer spending, and beverage consumption one year after a tax on sugar-sweetened beverages in Berkeley, California, US: A before-and-after study</w:t>
      </w:r>
      <w:r>
        <w:t xml:space="preserve">’</w:t>
      </w:r>
      <w:r>
        <w:t xml:space="preserve">.</w:t>
      </w:r>
      <w:r>
        <w:t xml:space="preserve"> </w:t>
      </w:r>
      <w:r>
        <w:rPr>
          <w:iCs/>
          <w:i/>
        </w:rPr>
        <w:t xml:space="preserve">PLOS Medicine</w:t>
      </w:r>
      <w:r>
        <w:t xml:space="preserve">. Available at: https://doi.org/10.1371/journal.pmed.1002283.</w:t>
      </w:r>
    </w:p>
    <w:p>
      <w:pPr>
        <w:pStyle w:val="BodyText"/>
      </w:pPr>
      <w:r>
        <w:t xml:space="preserve">Teng, A. M. et al. (2019)</w:t>
      </w:r>
      <w:r>
        <w:t xml:space="preserve"> </w:t>
      </w:r>
      <w:r>
        <w:t xml:space="preserve">‘</w:t>
      </w:r>
      <w:r>
        <w:t xml:space="preserve">Impact of sugar‐sweetened beverage taxes on purchases and dietary intake: Systematic review and meta‐analysis</w:t>
      </w:r>
      <w:r>
        <w:t xml:space="preserve">’</w:t>
      </w:r>
      <w:r>
        <w:t xml:space="preserve">.</w:t>
      </w:r>
      <w:r>
        <w:t xml:space="preserve"> </w:t>
      </w:r>
      <w:r>
        <w:rPr>
          <w:iCs/>
          <w:i/>
        </w:rPr>
        <w:t xml:space="preserve">Obesity Reviews</w:t>
      </w:r>
      <w:r>
        <w:t xml:space="preserve">. Available at: https://doi.org/10.1111/obr.12868.</w:t>
      </w:r>
    </w:p>
    <w:p>
      <w:pPr>
        <w:pStyle w:val="BodyText"/>
      </w:pPr>
      <w:r>
        <w:t xml:space="preserve">Watt, S. (2024)</w:t>
      </w:r>
      <w:r>
        <w:t xml:space="preserve"> </w:t>
      </w:r>
      <w:r>
        <w:t xml:space="preserve">‘</w:t>
      </w:r>
      <w:r>
        <w:t xml:space="preserve">What is the impact of the UK soft drinks industry levy on childhood tooth decay?</w:t>
      </w:r>
      <w:r>
        <w:t xml:space="preserve">’</w:t>
      </w:r>
      <w:r>
        <w:t xml:space="preserve">.</w:t>
      </w:r>
      <w:r>
        <w:t xml:space="preserve"> </w:t>
      </w:r>
      <w:r>
        <w:rPr>
          <w:iCs/>
          <w:i/>
        </w:rPr>
        <w:t xml:space="preserve">Evidence-Based Dentistry</w:t>
      </w:r>
      <w:r>
        <w:t xml:space="preserve">. Available at: https://doi.org/10.1038/s41432-024-01025-3.</w:t>
      </w:r>
    </w:p>
    <w:p>
      <w:pPr>
        <w:pStyle w:val="BodyText"/>
      </w:pPr>
      <w:r>
        <w:t xml:space="preserve">White, M. et al. (2023)</w:t>
      </w:r>
      <w:r>
        <w:t xml:space="preserve"> </w:t>
      </w:r>
      <w:r>
        <w:t xml:space="preserve">‘</w:t>
      </w:r>
      <w:r>
        <w:t xml:space="preserve">The UK Soft Drinks Industry Levy as an Incentive for Beverage Reformulation</w:t>
      </w:r>
      <w:r>
        <w:t xml:space="preserve">’</w:t>
      </w:r>
      <w:r>
        <w:t xml:space="preserve">.</w:t>
      </w:r>
      <w:r>
        <w:t xml:space="preserve"> </w:t>
      </w:r>
      <w:r>
        <w:rPr>
          <w:iCs/>
          <w:i/>
        </w:rPr>
        <w:t xml:space="preserve">Health Taxes</w:t>
      </w:r>
      <w:r>
        <w:t xml:space="preserve">. WORLD SCIENTIFIC (EUROPE). Available at: https://doi.org/10.1142/9781800612396_0005.</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2026-09-16T08:50:06Z</dcterms:created>
  <dcterms:modified xsi:type="dcterms:W3CDTF">2026-09-16T08:50:06Z</dcterms:modified>
</cp:coreProperties>
</file>

<file path=docProps/custom.xml><?xml version="1.0" encoding="utf-8"?>
<Properties xmlns="http://schemas.openxmlformats.org/officeDocument/2006/custom-properties" xmlns:vt="http://schemas.openxmlformats.org/officeDocument/2006/docPropsVTypes"/>
</file>