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Ezer TDD v1.1-S / PRD v2.0-S: Settlement Auditor Supplement (Updated)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Supplemental Expansion (Sprint 2) — FINAL PATCH APPLIED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document is a modular expansion to the frozen v2.0/v1.1 architecture. It enables the detection and recovery of "Hidden Leakage" in partial insurance settlements while enforcing strict safety guardrails for AI-driven financial analysis.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Requirement Expansion (PRD Supplement)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The Settlement Audit Concept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Ezer addresses the "Shadow Denial"—scenarios where an insurer initiates a partial payment but leaves a gap (leakage) due to internal tariffs or arbitrary deductions. The system audits </w:t>
      </w:r>
      <w:r w:rsidDel="00000000" w:rsidR="00000000" w:rsidRPr="00000000">
        <w:rPr>
          <w:b w:val="1"/>
          <w:bCs w:val="1"/>
          <w:rtl w:val="0"/>
        </w:rPr>
        <w:t xml:space="preserve">Settlement Letters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Payment Advice</w:t>
      </w:r>
      <w:r w:rsidDel="00000000" w:rsidR="00000000" w:rsidRPr="00000000">
        <w:rPr>
          <w:rtl w:val="0"/>
        </w:rPr>
        <w:t xml:space="preserve"> documents to identify recoverable funds.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Recovery Patterns &amp; Language Safety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MOU Discount Recovery:</w:t>
      </w:r>
      <w:r w:rsidDel="00000000" w:rsidR="00000000" w:rsidRPr="00000000">
        <w:rPr>
          <w:rtl w:val="0"/>
        </w:rPr>
        <w:t xml:space="preserve"> Identifies gaps caused by "Memorandum of Understanding" tariffs between insurers and hospitals. If the hospital fails to apply the discount, Ezer flags the delta for review.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Consumables Breach:</w:t>
      </w:r>
      <w:r w:rsidDel="00000000" w:rsidR="00000000" w:rsidRPr="00000000">
        <w:rPr>
          <w:rtl w:val="0"/>
        </w:rPr>
        <w:t xml:space="preserve"> If a user has a "Protector Rider" (Consumables Cover), Ezer flags deductions for pharmacy items, surgical blades, and gloves as potential contractual breaches.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LANGUAGE SAFETY RULE:</w:t>
      </w:r>
      <w:r w:rsidDel="00000000" w:rsidR="00000000" w:rsidRPr="00000000">
        <w:rPr>
          <w:rtl w:val="0"/>
        </w:rPr>
        <w:t xml:space="preserve"> Ezer will never present any deduction as a confirmed loss or guaranteed recovery. All outputs must use probabilistic language: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“There may be a difference worth reviewing”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“Some deductions may need closer review”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Ezer does not assert final liability or guaranteed recoverability.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Technical Architecture (TDD Supplement)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Data Schema Updates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fields must be added to schemas.py to future-proof the build: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claimed_amount (float): Total bill amount.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settled_amount (float): Amount credited by insurer.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leakage_amount (float): Numerical delta (Claimed - Settled).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has_protector_rider (boolean): Extracted during policy analysis.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settlement_extraction_confidence (string): HIGH, MEDIUM, LOW. Indicates reliability of table extraction and numeric interpretation.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Modular Logic Fork with Guard Clause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backend router handles settlements via an isolated path with a confidence-based safety brake: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# escalator.py - Modular Router Update</w:t>
        <w:br w:type="textWrapping"/>
        <w:t xml:space="preserve">if doc_type == "SETTLEMENT_ADVICE":</w:t>
        <w:br w:type="textWrapping"/>
        <w:t xml:space="preserve">    if settlement_extraction_confidence == "LOW":</w:t>
        <w:br w:type="textWrapping"/>
        <w:t xml:space="preserve">        return settlement_auditor.low_confidence_response()</w:t>
        <w:br w:type="textWrapping"/>
        <w:t xml:space="preserve">    return settlement_auditor.analyze(doc_text, policy_metadata)</w:t>
        <w:br w:type="textWrapping"/>
        <w:t xml:space="preserve">else:</w:t>
        <w:br w:type="textWrapping"/>
        <w:t xml:space="preserve">    return denial_engine.analyze(doc_text, policy_metadata)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2.3 Extraction &amp; Validation Rules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VALIDATION RULE:</w:t>
      </w:r>
      <w:r w:rsidDel="00000000" w:rsidR="00000000" w:rsidRPr="00000000">
        <w:rPr>
          <w:rtl w:val="0"/>
        </w:rPr>
        <w:t xml:space="preserve"> If the table structure is incomplete, misaligned, or confidence is LOW: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 not compute or display leakage_amount.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 not present numerical conclusions.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Provide guidance-only output.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Sprint Planning (For the Tech Team)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 UI Impact:</w:t>
      </w:r>
      <w:r w:rsidDel="00000000" w:rsidR="00000000" w:rsidRPr="00000000">
        <w:rPr>
          <w:rtl w:val="0"/>
        </w:rPr>
        <w:t xml:space="preserve"> The 7-screen flow remains identical. Results display via existing Screen 5 "Two-Column" layout.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RIDER VALIDATION RULE:</w:t>
      </w:r>
      <w:r w:rsidDel="00000000" w:rsidR="00000000" w:rsidRPr="00000000">
        <w:rPr>
          <w:rtl w:val="0"/>
        </w:rPr>
        <w:t xml:space="preserve"> has_protector_rider must only be set to TRUE if an explicit clause is found in the policy or manually confirmed by the user. If uncertain, default to FALSE or UNKNOWN.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Safety and Accuracy Guardrails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financial conclusions without HIGH or MEDIUM confidence.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All monetary differences shown as approximate.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guaranteed recovery statements.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Settlement analysis is advisory, not determinative.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Users are explicitly encouraged to verify deductions before escalation.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