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2"/>
          <w:szCs w:val="52"/>
        </w:rPr>
        <w:t xml:space="preserve">FAITH MARIE FOUNDATION</w:t>
      </w:r>
    </w:p>
    <w:p>
      <w:pPr>
        <w:spacing w:after="120"/>
        <w:jc w:val="center"/>
      </w:pPr>
      <w:r>
        <w:rPr>
          <w:rFonts w:ascii="Arial" w:cs="Arial" w:eastAsia="Arial" w:hAnsi="Arial"/>
          <w:i/>
          <w:iCs/>
          <w:color w:val="5D6D7E"/>
          <w:sz w:val="28"/>
          <w:szCs w:val="28"/>
        </w:rPr>
        <w:t xml:space="preserve">Advancing Mental Health Research Through AI</w:t>
      </w:r>
    </w:p>
    <w:p>
      <w:pPr>
        <w:pBdr>
          <w:bottom w:val="single" w:color="1B4F72" w:sz="6" w:space="8"/>
        </w:pBdr>
        <w:spacing w:after="80"/>
        <w:jc w:val="center"/>
      </w:pPr>
      <w:r>
        <w:rPr>
          <w:rFonts w:ascii="Arial" w:cs="Arial" w:eastAsia="Arial" w:hAnsi="Arial"/>
          <w:color w:val="5D6D7E"/>
          <w:sz w:val="24"/>
          <w:szCs w:val="24"/>
        </w:rPr>
        <w:t xml:space="preserve">In Memory of Faith Marie Moses (2019)</w:t>
      </w:r>
    </w:p>
    <w:p>
      <w:pPr>
        <w:spacing w:before="600"/>
      </w:pPr>
    </w:p>
    <w:p>
      <w:pPr>
        <w:spacing w:after="80"/>
        <w:jc w:val="center"/>
      </w:pPr>
      <w:r>
        <w:rPr>
          <w:rFonts w:ascii="Arial" w:cs="Arial" w:eastAsia="Arial" w:hAnsi="Arial"/>
          <w:b/>
          <w:bCs/>
          <w:color w:val="2C3E50"/>
          <w:sz w:val="32"/>
          <w:szCs w:val="32"/>
        </w:rPr>
        <w:t xml:space="preserve">Comprehensive Business Plan</w:t>
      </w:r>
    </w:p>
    <w:p>
      <w:pPr>
        <w:spacing w:after="80"/>
        <w:jc w:val="center"/>
      </w:pPr>
      <w:r>
        <w:rPr>
          <w:rFonts w:ascii="Arial" w:cs="Arial" w:eastAsia="Arial" w:hAnsi="Arial"/>
          <w:color w:val="5D6D7E"/>
          <w:sz w:val="28"/>
          <w:szCs w:val="28"/>
        </w:rPr>
        <w:t xml:space="preserve">2026 – 2036</w:t>
      </w:r>
    </w:p>
    <w:p>
      <w:pPr>
        <w:spacing w:before="1200"/>
      </w:pPr>
    </w:p>
    <w:p>
      <w:pPr>
        <w:spacing w:after="40"/>
        <w:jc w:val="center"/>
      </w:pPr>
      <w:r>
        <w:rPr>
          <w:rFonts w:ascii="Arial" w:cs="Arial" w:eastAsia="Arial" w:hAnsi="Arial"/>
          <w:b/>
          <w:bCs/>
          <w:color w:val="2C3E50"/>
          <w:sz w:val="22"/>
          <w:szCs w:val="22"/>
        </w:rPr>
        <w:t xml:space="preserve">Levi Moses, Founder</w:t>
      </w:r>
    </w:p>
    <w:p>
      <w:pPr>
        <w:spacing w:after="40"/>
        <w:jc w:val="center"/>
      </w:pPr>
      <w:r>
        <w:rPr>
          <w:rFonts w:ascii="Arial" w:cs="Arial" w:eastAsia="Arial" w:hAnsi="Arial"/>
          <w:color w:val="1B4F72"/>
          <w:sz w:val="20"/>
          <w:szCs w:val="20"/>
        </w:rPr>
        <w:t xml:space="preserve">mosestx2008@gmail.com  |  faithmarie.org</w:t>
      </w:r>
    </w:p>
    <w:p>
      <w:pPr>
        <w:spacing w:after="200"/>
        <w:jc w:val="center"/>
      </w:pPr>
      <w:r>
        <w:rPr>
          <w:rFonts w:ascii="Arial" w:cs="Arial" w:eastAsia="Arial" w:hAnsi="Arial"/>
          <w:color w:val="5D6D7E"/>
          <w:sz w:val="20"/>
          <w:szCs w:val="20"/>
        </w:rPr>
        <w:t xml:space="preserve">April 2026  |  Texas, United States</w:t>
      </w:r>
    </w:p>
    <w:p>
      <w:pPr>
        <w:spacing w:after="120"/>
        <w:jc w:val="center"/>
      </w:pPr>
      <w:r>
        <w:rPr>
          <w:rFonts w:ascii="Arial" w:cs="Arial" w:eastAsia="Arial" w:hAnsi="Arial"/>
          <w:b/>
          <w:bCs/>
          <w:color w:val="5D6D7E"/>
          <w:sz w:val="20"/>
          <w:szCs w:val="20"/>
        </w:rPr>
        <w:t xml:space="preserve">CONFIDENTIAL</w:t>
      </w:r>
    </w:p>
    <w:p>
      <w:r>
        <w:br w:type="page"/>
      </w:r>
    </w:p>
    <w:p>
      <w:pPr>
        <w:pStyle w:val="Heading1"/>
        <w:spacing w:after="120"/>
      </w:pPr>
      <w:r>
        <w:rPr>
          <w:rFonts w:ascii="Arial" w:cs="Arial" w:eastAsia="Arial" w:hAnsi="Arial"/>
          <w:color w:val="5D6D7E"/>
          <w:sz w:val="22"/>
          <w:szCs w:val="2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pPr>
      <w:r>
        <w:rPr>
          <w:rFonts w:ascii="Arial" w:cs="Arial" w:eastAsia="Arial" w:hAnsi="Arial"/>
          <w:color w:val="5D6D7E"/>
          <w:sz w:val="22"/>
          <w:szCs w:val="22"/>
        </w:rPr>
        <w:t xml:space="preserve">1. The Story Behind the Name</w:t>
      </w:r>
    </w:p>
    <w:p>
      <w:pPr>
        <w:spacing w:after="120"/>
      </w:pPr>
      <w:r>
        <w:rPr>
          <w:rFonts w:ascii="Arial" w:cs="Arial" w:eastAsia="Arial" w:hAnsi="Arial"/>
          <w:color w:val="5D6D7E"/>
          <w:sz w:val="22"/>
          <w:szCs w:val="22"/>
        </w:rPr>
        <w:t xml:space="preserve">Faith Marie Moses was born in 2019 as the seventh child of the Moses family. She entered the world with a complicated heart condition and lived for twenty-one days. In those twenty-one days, she changed her family forever.</w:t>
      </w:r>
    </w:p>
    <w:p>
      <w:pPr>
        <w:spacing w:after="120"/>
      </w:pPr>
      <w:r>
        <w:rPr>
          <w:rFonts w:ascii="Arial" w:cs="Arial" w:eastAsia="Arial" w:hAnsi="Arial"/>
          <w:color w:val="5D6D7E"/>
          <w:sz w:val="22"/>
          <w:szCs w:val="22"/>
        </w:rPr>
        <w:t xml:space="preserve">The Faith Marie Foundation was born from the grief, strength, and determination that followed her passing. It is a commitment to ensure that her name stands for something that helps others navigate their own darkest moments. Every research digest published, every person connected to a therapist, every interaction with the AI support tools carries her name and her legacy forward.</w:t>
      </w:r>
    </w:p>
    <w:p>
      <w:pPr>
        <w:spacing w:after="120"/>
      </w:pPr>
      <w:r>
        <w:rPr>
          <w:rFonts w:ascii="Arial" w:cs="Arial" w:eastAsia="Arial" w:hAnsi="Arial"/>
          <w:color w:val="5D6D7E"/>
          <w:sz w:val="22"/>
          <w:szCs w:val="22"/>
        </w:rPr>
        <w:t xml:space="preserve">This is not an abstract nonprofit. It is deeply personal. And that is what makes it powerful.</w:t>
      </w:r>
    </w:p>
    <w:p>
      <w:pPr>
        <w:pStyle w:val="Heading1"/>
        <w:pageBreakBefore/>
        <w:spacing w:after="120"/>
      </w:pPr>
      <w:r>
        <w:rPr>
          <w:rFonts w:ascii="Arial" w:cs="Arial" w:eastAsia="Arial" w:hAnsi="Arial"/>
          <w:color w:val="5D6D7E"/>
          <w:sz w:val="22"/>
          <w:szCs w:val="22"/>
        </w:rPr>
        <w:t xml:space="preserve">2. Vision</w:t>
      </w:r>
    </w:p>
    <w:p>
      <w:pPr>
        <w:spacing w:after="120"/>
      </w:pPr>
      <w:r>
        <w:rPr>
          <w:rFonts w:ascii="Arial" w:cs="Arial" w:eastAsia="Arial" w:hAnsi="Arial"/>
          <w:color w:val="5D6D7E"/>
          <w:sz w:val="22"/>
          <w:szCs w:val="22"/>
        </w:rPr>
        <w:t xml:space="preserve">The Faith Marie Foundation envisions a world where cutting-edge AI research makes mental health understanding accessible to everyone — where the latest findings on grief, trauma, PTSD, depression, and anxiety are not locked behind academic paywalls but are synthesized, translated, and delivered daily to the people and professionals who need them.</w:t>
      </w:r>
    </w:p>
    <w:p>
      <w:pPr>
        <w:spacing w:after="200"/>
      </w:pPr>
      <w:r>
        <w:rPr>
          <w:rFonts w:ascii="Arial" w:cs="Arial" w:eastAsia="Arial" w:hAnsi="Arial"/>
          <w:i/>
          <w:iCs/>
          <w:color w:val="1B4F72"/>
          <w:sz w:val="22"/>
          <w:szCs w:val="22"/>
        </w:rPr>
        <w:t xml:space="preserve">In Faith Marie’s name, we build the tools and knowledge that help people find their way through darkness.</w:t>
      </w:r>
    </w:p>
    <w:p>
      <w:pPr>
        <w:pStyle w:val="Heading1"/>
        <w:pageBreakBefore/>
        <w:spacing w:after="120"/>
      </w:pPr>
      <w:r>
        <w:rPr>
          <w:rFonts w:ascii="Arial" w:cs="Arial" w:eastAsia="Arial" w:hAnsi="Arial"/>
          <w:color w:val="5D6D7E"/>
          <w:sz w:val="22"/>
          <w:szCs w:val="22"/>
        </w:rPr>
        <w:t xml:space="preserve">3. The Problem We Solve</w:t>
      </w:r>
    </w:p>
    <w:p>
      <w:pPr>
        <w:spacing w:after="120"/>
      </w:pPr>
      <w:r>
        <w:rPr>
          <w:rFonts w:ascii="Arial" w:cs="Arial" w:eastAsia="Arial" w:hAnsi="Arial"/>
          <w:color w:val="5D6D7E"/>
          <w:sz w:val="22"/>
          <w:szCs w:val="22"/>
        </w:rPr>
        <w:t xml:space="preserve">Mental health research is fragmented, slow to reach the public, and often inaccessible to the people who need it most. Families dealing with child loss, individuals struggling with PTSD or trauma, and anyone facing depression or anxiety are left to navigate an overwhelming, disconnected landscape of resources.</w:t>
      </w:r>
    </w:p>
    <w:p>
      <w:pPr>
        <w:spacing w:after="120"/>
      </w:pPr>
      <w:r>
        <w:rPr>
          <w:rFonts w:ascii="Arial" w:cs="Arial" w:eastAsia="Arial" w:hAnsi="Arial"/>
          <w:color w:val="5D6D7E"/>
          <w:sz w:val="22"/>
          <w:szCs w:val="22"/>
        </w:rPr>
        <w:t xml:space="preserve">Meanwhile, groundbreaking research sits in journals that most people will never read. Over 400,000 published papers exist on depression alone, with thousands added every year. The average time from scientific discovery to clinical application is 17 years. There is no centralized, AI-powered system that continuously scans, synthesizes, and delivers actionable mental health insights to everyday people.</w:t>
      </w:r>
    </w:p>
    <w:p>
      <w:pPr>
        <w:spacing w:after="120"/>
      </w:pPr>
      <w:r>
        <w:rPr>
          <w:rFonts w:ascii="Arial" w:cs="Arial" w:eastAsia="Arial" w:hAnsi="Arial"/>
          <w:b/>
          <w:bCs/>
          <w:color w:val="2C3E50"/>
          <w:sz w:val="22"/>
          <w:szCs w:val="22"/>
        </w:rPr>
        <w:t xml:space="preserve">The gap is clear: </w:t>
      </w:r>
      <w:r>
        <w:rPr>
          <w:rFonts w:ascii="Arial" w:cs="Arial" w:eastAsia="Arial" w:hAnsi="Arial"/>
          <w:color w:val="5D6D7E"/>
          <w:sz w:val="22"/>
          <w:szCs w:val="22"/>
        </w:rPr>
        <w:t xml:space="preserve">the knowledge exists, but it is not reaching the people who need it. The Faith Marie Foundation closes that gap with technology.</w:t>
      </w:r>
    </w:p>
    <w:p>
      <w:pPr>
        <w:pStyle w:val="Heading1"/>
        <w:pageBreakBefore/>
        <w:spacing w:after="120"/>
      </w:pPr>
      <w:r>
        <w:rPr>
          <w:rFonts w:ascii="Arial" w:cs="Arial" w:eastAsia="Arial" w:hAnsi="Arial"/>
          <w:color w:val="5D6D7E"/>
          <w:sz w:val="22"/>
          <w:szCs w:val="22"/>
        </w:rPr>
        <w:t xml:space="preserve">4. Organizational Structure</w:t>
      </w:r>
    </w:p>
    <w:p>
      <w:pPr>
        <w:pStyle w:val="Heading2"/>
        <w:spacing w:after="120"/>
      </w:pPr>
      <w:r>
        <w:rPr>
          <w:rFonts w:ascii="Arial" w:cs="Arial" w:eastAsia="Arial" w:hAnsi="Arial"/>
          <w:color w:val="5D6D7E"/>
          <w:sz w:val="22"/>
          <w:szCs w:val="22"/>
        </w:rPr>
        <w:t xml:space="preserve">The Umbrella Model</w:t>
      </w:r>
    </w:p>
    <w:p>
      <w:pPr>
        <w:spacing w:after="120"/>
      </w:pPr>
      <w:r>
        <w:rPr>
          <w:rFonts w:ascii="Arial" w:cs="Arial" w:eastAsia="Arial" w:hAnsi="Arial"/>
          <w:color w:val="5D6D7E"/>
          <w:sz w:val="22"/>
          <w:szCs w:val="22"/>
        </w:rPr>
        <w:t xml:space="preserve">The Faith Marie Foundation operates as a 501(c)(3) non-profit parent organization headquartered in Texas. Programs and initiatives operate under the Foundation’s tax-exempt umbrella, each with their own identity and focus but sharing the same legal, financial, and governance infrastructure.</w:t>
      </w:r>
    </w:p>
    <w:p>
      <w:pPr>
        <w:spacing w:after="120"/>
      </w:pPr>
      <w:r>
        <w:rPr>
          <w:rFonts w:ascii="Arial" w:cs="Arial" w:eastAsia="Arial" w:hAnsi="Arial"/>
          <w:color w:val="5D6D7E"/>
          <w:sz w:val="22"/>
          <w:szCs w:val="22"/>
        </w:rPr>
        <w:t xml:space="preserve">This structure allows the Foundation to launch new programs without additional legal filings, keeps administrative overhead low, and gives donors a single entity to support while enabling focused, branded initiatives underneath.</w:t>
      </w:r>
    </w:p>
    <w:p>
      <w:pPr>
        <w:pStyle w:val="Heading2"/>
        <w:spacing w:after="120"/>
      </w:pPr>
      <w:r>
        <w:rPr>
          <w:rFonts w:ascii="Arial" w:cs="Arial" w:eastAsia="Arial" w:hAnsi="Arial"/>
          <w:color w:val="5D6D7E"/>
          <w:sz w:val="22"/>
          <w:szCs w:val="22"/>
        </w:rPr>
        <w:t xml:space="preserve">Current Programs</w:t>
      </w:r>
    </w:p>
    <w:p>
      <w:pPr>
        <w:spacing w:after="120"/>
      </w:pPr>
      <w:r>
        <w:rPr>
          <w:rFonts w:ascii="Arial" w:cs="Arial" w:eastAsia="Arial" w:hAnsi="Arial"/>
          <w:b/>
          <w:bCs/>
          <w:color w:val="1B4F72"/>
          <w:sz w:val="22"/>
          <w:szCs w:val="22"/>
        </w:rPr>
        <w:t xml:space="preserve">ClearMind Lab </w:t>
      </w:r>
      <w:r>
        <w:rPr>
          <w:rFonts w:ascii="Arial" w:cs="Arial" w:eastAsia="Arial" w:hAnsi="Arial"/>
          <w:color w:val="5D6D7E"/>
          <w:sz w:val="22"/>
          <w:szCs w:val="22"/>
        </w:rPr>
        <w:t xml:space="preserve">(AI Mental Health Research) — The Foundation’s flagship research program. ClearMind Lab deploys autonomous AI agent teams to scan, analyze, and synthesize mental health research daily. It produces open-access research digests, maintains a searchable knowledge base, and surfaces insights that would take human researchers months to uncover.</w:t>
      </w:r>
    </w:p>
    <w:p>
      <w:pPr>
        <w:spacing w:after="120"/>
      </w:pPr>
      <w:r>
        <w:rPr>
          <w:rFonts w:ascii="Arial" w:cs="Arial" w:eastAsia="Arial" w:hAnsi="Arial"/>
          <w:b/>
          <w:bCs/>
          <w:color w:val="1B4F72"/>
          <w:sz w:val="22"/>
          <w:szCs w:val="22"/>
        </w:rPr>
        <w:t xml:space="preserve">Direct Support Tools </w:t>
      </w:r>
      <w:r>
        <w:rPr>
          <w:rFonts w:ascii="Arial" w:cs="Arial" w:eastAsia="Arial" w:hAnsi="Arial"/>
          <w:color w:val="5D6D7E"/>
          <w:sz w:val="22"/>
          <w:szCs w:val="22"/>
        </w:rPr>
        <w:t xml:space="preserve">— A suite of public-facing tools including an empathetic AI support chatbot, a searchable research knowledge base, and a resource finder that connects people with local therapists, support groups, and crisis services.</w:t>
      </w:r>
    </w:p>
    <w:p>
      <w:pPr>
        <w:pStyle w:val="Heading2"/>
        <w:spacing w:after="120"/>
      </w:pPr>
      <w:r>
        <w:rPr>
          <w:rFonts w:ascii="Arial" w:cs="Arial" w:eastAsia="Arial" w:hAnsi="Arial"/>
          <w:color w:val="5D6D7E"/>
          <w:sz w:val="22"/>
          <w:szCs w:val="22"/>
        </w:rPr>
        <w:t xml:space="preserve">Future Programs (As Funding Allows)</w:t>
      </w:r>
    </w:p>
    <w:p>
      <w:pPr>
        <w:pStyle w:val="ListParagraph"/>
        <w:numPr>
          <w:ilvl w:val="0"/>
          <w:numId w:val="2"/>
        </w:numPr>
        <w:spacing w:after="120"/>
      </w:pPr>
      <w:r>
        <w:rPr>
          <w:rFonts w:ascii="Arial" w:cs="Arial" w:eastAsia="Arial" w:hAnsi="Arial"/>
          <w:color w:val="5D6D7E"/>
          <w:sz w:val="22"/>
          <w:szCs w:val="22"/>
        </w:rPr>
        <w:t xml:space="preserve">Mood Tracker &amp; Journal App — A personal mental health tracking tool with AI-powered insights</w:t>
      </w:r>
    </w:p>
    <w:p>
      <w:pPr>
        <w:pStyle w:val="ListParagraph"/>
        <w:numPr>
          <w:ilvl w:val="0"/>
          <w:numId w:val="2"/>
        </w:numPr>
        <w:spacing w:after="120"/>
      </w:pPr>
      <w:r>
        <w:rPr>
          <w:rFonts w:ascii="Arial" w:cs="Arial" w:eastAsia="Arial" w:hAnsi="Arial"/>
          <w:color w:val="5D6D7E"/>
          <w:sz w:val="22"/>
          <w:szCs w:val="22"/>
        </w:rPr>
        <w:t xml:space="preserve">Community Outreach — Local programs for grief support, veteran mental health, and underserved communities</w:t>
      </w:r>
    </w:p>
    <w:p>
      <w:pPr>
        <w:pStyle w:val="ListParagraph"/>
        <w:numPr>
          <w:ilvl w:val="0"/>
          <w:numId w:val="2"/>
        </w:numPr>
        <w:spacing w:after="120"/>
      </w:pPr>
      <w:r>
        <w:rPr>
          <w:rFonts w:ascii="Arial" w:cs="Arial" w:eastAsia="Arial" w:hAnsi="Arial"/>
          <w:color w:val="5D6D7E"/>
          <w:sz w:val="22"/>
          <w:szCs w:val="22"/>
        </w:rPr>
        <w:t xml:space="preserve">Heart Research Program — Expanding into cardiovascular-mental health comorbidity research</w:t>
      </w:r>
    </w:p>
    <w:p>
      <w:pPr>
        <w:pStyle w:val="Heading2"/>
        <w:spacing w:after="120"/>
      </w:pPr>
      <w:r>
        <w:rPr>
          <w:rFonts w:ascii="Arial" w:cs="Arial" w:eastAsia="Arial" w:hAnsi="Arial"/>
          <w:color w:val="5D6D7E"/>
          <w:sz w:val="22"/>
          <w:szCs w:val="22"/>
        </w:rPr>
        <w:t xml:space="preserve">Board of Directors</w:t>
      </w:r>
    </w:p>
    <w:p>
      <w:pPr>
        <w:spacing w:after="120"/>
      </w:pPr>
      <w:r>
        <w:rPr>
          <w:rFonts w:ascii="Arial" w:cs="Arial" w:eastAsia="Arial" w:hAnsi="Arial"/>
          <w:color w:val="5D6D7E"/>
          <w:sz w:val="22"/>
          <w:szCs w:val="22"/>
        </w:rPr>
        <w:t xml:space="preserve">The Foundation will be governed by a three-member board of directors, with plans to expand as the organization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Qualifications</w:t>
            </w:r>
          </w:p>
        </w:tc>
      </w:tr>
      <w:tr>
        <w:tc>
          <w:tcPr>
            <w:tcW w:type="dxa" w:w="280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b/>
                <w:bCs/>
                <w:color w:val="5D6D7E"/>
                <w:sz w:val="20"/>
                <w:szCs w:val="20"/>
              </w:rPr>
              <w:t xml:space="preserve">Levi Moses</w:t>
            </w:r>
          </w:p>
        </w:tc>
        <w:tc>
          <w:tcPr>
            <w:tcW w:type="dxa" w:w="220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Founder &amp; Executive Director</w:t>
            </w:r>
          </w:p>
        </w:tc>
        <w:tc>
          <w:tcPr>
            <w:tcW w:type="dxa" w:w="43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Vision, technology, operations, AI systems development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D6D7E"/>
                <w:sz w:val="20"/>
                <w:szCs w:val="20"/>
              </w:rPr>
              <w:t xml:space="preserve">Bob Teel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D6D7E"/>
                <w:sz w:val="20"/>
                <w:szCs w:val="20"/>
              </w:rPr>
              <w:t xml:space="preserve">Treasurer / Financial Advisor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D6D7E"/>
                <w:sz w:val="20"/>
                <w:szCs w:val="20"/>
              </w:rPr>
              <w:t xml:space="preserve">Financial oversight, accounting, non-profit compliance, budget management</w:t>
            </w:r>
          </w:p>
        </w:tc>
      </w:tr>
      <w:tr>
        <w:tc>
          <w:tcPr>
            <w:tcW w:type="dxa" w:w="280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b/>
                <w:bCs/>
                <w:color w:val="5D6D7E"/>
                <w:sz w:val="20"/>
                <w:szCs w:val="20"/>
              </w:rPr>
              <w:t xml:space="preserve">TBD</w:t>
            </w:r>
          </w:p>
        </w:tc>
        <w:tc>
          <w:tcPr>
            <w:tcW w:type="dxa" w:w="220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Clinical / Research Advisor</w:t>
            </w:r>
          </w:p>
        </w:tc>
        <w:tc>
          <w:tcPr>
            <w:tcW w:type="dxa" w:w="43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Mental health expertise, research direction, clinical credibility, IRB guidance</w:t>
            </w:r>
          </w:p>
        </w:tc>
      </w:tr>
    </w:tbl>
    <w:p>
      <w:pPr>
        <w:spacing w:after="200"/>
      </w:pPr>
      <w:r>
        <w:rPr>
          <w:rFonts w:ascii="Arial" w:cs="Arial" w:eastAsia="Arial" w:hAnsi="Arial"/>
          <w:color w:val="5D6D7E"/>
          <w:sz w:val="22"/>
          <w:szCs w:val="22"/>
        </w:rPr>
        <w:t xml:space="preserve">No board members are related by blood or marriage, in compliance with IRS best practices for 501(c)(3) organizations. A conflict of interest policy will be adopted as part of the bylaws.</w:t>
      </w:r>
    </w:p>
    <w:p>
      <w:pPr>
        <w:pStyle w:val="Heading1"/>
        <w:pageBreakBefore/>
        <w:spacing w:after="120"/>
      </w:pPr>
      <w:r>
        <w:rPr>
          <w:rFonts w:ascii="Arial" w:cs="Arial" w:eastAsia="Arial" w:hAnsi="Arial"/>
          <w:color w:val="5D6D7E"/>
          <w:sz w:val="22"/>
          <w:szCs w:val="22"/>
        </w:rPr>
        <w:t xml:space="preserve">5. Mission &amp; Solution: Two Pillars</w:t>
      </w:r>
    </w:p>
    <w:p>
      <w:pPr>
        <w:spacing w:after="120"/>
      </w:pPr>
      <w:r>
        <w:rPr>
          <w:rFonts w:ascii="Arial" w:cs="Arial" w:eastAsia="Arial" w:hAnsi="Arial"/>
          <w:color w:val="5D6D7E"/>
          <w:sz w:val="22"/>
          <w:szCs w:val="22"/>
        </w:rPr>
        <w:t xml:space="preserve">The Foundation operates on two complementary pillars that work together to fulfill our mission.</w:t>
      </w:r>
    </w:p>
    <w:p>
      <w:pPr>
        <w:pStyle w:val="Heading2"/>
        <w:spacing w:after="120"/>
      </w:pPr>
      <w:r>
        <w:rPr>
          <w:rFonts w:ascii="Arial" w:cs="Arial" w:eastAsia="Arial" w:hAnsi="Arial"/>
          <w:color w:val="5D6D7E"/>
          <w:sz w:val="22"/>
          <w:szCs w:val="22"/>
        </w:rPr>
        <w:t xml:space="preserve">Pillar 1: AI-Powered Research (ClearMind Lab)</w:t>
      </w:r>
    </w:p>
    <w:p>
      <w:pPr>
        <w:spacing w:after="120"/>
      </w:pPr>
      <w:r>
        <w:rPr>
          <w:rFonts w:ascii="Arial" w:cs="Arial" w:eastAsia="Arial" w:hAnsi="Arial"/>
          <w:color w:val="5D6D7E"/>
          <w:sz w:val="22"/>
          <w:szCs w:val="22"/>
        </w:rPr>
        <w:t xml:space="preserve">Autonomous AI agent teams, each focused on a specific mental health topic area, run the full research pipeline every day:</w:t>
      </w:r>
    </w:p>
    <w:p>
      <w:pPr>
        <w:pStyle w:val="ListParagraph"/>
        <w:numPr>
          <w:ilvl w:val="0"/>
          <w:numId w:val="3"/>
        </w:numPr>
        <w:spacing w:after="120"/>
      </w:pPr>
      <w:r>
        <w:rPr>
          <w:rFonts w:ascii="Arial" w:cs="Arial" w:eastAsia="Arial" w:hAnsi="Arial"/>
          <w:color w:val="5D6D7E"/>
          <w:sz w:val="22"/>
          <w:szCs w:val="22"/>
        </w:rPr>
        <w:t xml:space="preserve">Scan — Monitor PubMed, bioRxiv, PsycINFO, ClinicalTrials.gov, and other academic databases for new publications</w:t>
      </w:r>
    </w:p>
    <w:p>
      <w:pPr>
        <w:pStyle w:val="ListParagraph"/>
        <w:numPr>
          <w:ilvl w:val="0"/>
          <w:numId w:val="3"/>
        </w:numPr>
        <w:spacing w:after="120"/>
      </w:pPr>
      <w:r>
        <w:rPr>
          <w:rFonts w:ascii="Arial" w:cs="Arial" w:eastAsia="Arial" w:hAnsi="Arial"/>
          <w:color w:val="5D6D7E"/>
          <w:sz w:val="22"/>
          <w:szCs w:val="22"/>
        </w:rPr>
        <w:t xml:space="preserve">Analyze — Deep-read priority papers, extract findings, compare against the existing knowledge base</w:t>
      </w:r>
    </w:p>
    <w:p>
      <w:pPr>
        <w:pStyle w:val="ListParagraph"/>
        <w:numPr>
          <w:ilvl w:val="0"/>
          <w:numId w:val="3"/>
        </w:numPr>
        <w:spacing w:after="120"/>
      </w:pPr>
      <w:r>
        <w:rPr>
          <w:rFonts w:ascii="Arial" w:cs="Arial" w:eastAsia="Arial" w:hAnsi="Arial"/>
          <w:color w:val="5D6D7E"/>
          <w:sz w:val="22"/>
          <w:szCs w:val="22"/>
        </w:rPr>
        <w:t xml:space="preserve">Synthesize — Translate academic language into accessible summaries with practical implications</w:t>
      </w:r>
    </w:p>
    <w:p>
      <w:pPr>
        <w:pStyle w:val="ListParagraph"/>
        <w:numPr>
          <w:ilvl w:val="0"/>
          <w:numId w:val="3"/>
        </w:numPr>
        <w:spacing w:after="120"/>
      </w:pPr>
      <w:r>
        <w:rPr>
          <w:rFonts w:ascii="Arial" w:cs="Arial" w:eastAsia="Arial" w:hAnsi="Arial"/>
          <w:color w:val="5D6D7E"/>
          <w:sz w:val="22"/>
          <w:szCs w:val="22"/>
        </w:rPr>
        <w:t xml:space="preserve">Publish — Produce daily research digests and update the public knowledge base</w:t>
      </w:r>
    </w:p>
    <w:p>
      <w:pPr>
        <w:pStyle w:val="ListParagraph"/>
        <w:numPr>
          <w:ilvl w:val="0"/>
          <w:numId w:val="3"/>
        </w:numPr>
        <w:spacing w:after="120"/>
      </w:pPr>
      <w:r>
        <w:rPr>
          <w:rFonts w:ascii="Arial" w:cs="Arial" w:eastAsia="Arial" w:hAnsi="Arial"/>
          <w:color w:val="5D6D7E"/>
          <w:sz w:val="22"/>
          <w:szCs w:val="22"/>
        </w:rPr>
        <w:t xml:space="preserve">Report — Compile deeper weekly and monthly analyses, identify emerging patterns and research gaps</w:t>
      </w:r>
    </w:p>
    <w:p>
      <w:pPr>
        <w:pStyle w:val="Heading2"/>
        <w:spacing w:after="120"/>
      </w:pPr>
      <w:r>
        <w:rPr>
          <w:rFonts w:ascii="Arial" w:cs="Arial" w:eastAsia="Arial" w:hAnsi="Arial"/>
          <w:color w:val="5D6D7E"/>
          <w:sz w:val="22"/>
          <w:szCs w:val="22"/>
        </w:rPr>
        <w:t xml:space="preserve">Pillar 2: Direct Support Tools</w:t>
      </w:r>
    </w:p>
    <w:p>
      <w:pPr>
        <w:spacing w:after="120"/>
      </w:pPr>
      <w:r>
        <w:rPr>
          <w:rFonts w:ascii="Arial" w:cs="Arial" w:eastAsia="Arial" w:hAnsi="Arial"/>
          <w:color w:val="5D6D7E"/>
          <w:sz w:val="22"/>
          <w:szCs w:val="22"/>
        </w:rPr>
        <w:t xml:space="preserve">A comprehensive platform at faithmarie.org where people can access support directly:</w:t>
      </w:r>
    </w:p>
    <w:p>
      <w:pPr>
        <w:pStyle w:val="ListParagraph"/>
        <w:numPr>
          <w:ilvl w:val="0"/>
          <w:numId w:val="2"/>
        </w:numPr>
        <w:spacing w:after="120"/>
      </w:pPr>
      <w:r>
        <w:rPr>
          <w:rFonts w:ascii="Arial" w:cs="Arial" w:eastAsia="Arial" w:hAnsi="Arial"/>
          <w:color w:val="5D6D7E"/>
          <w:sz w:val="22"/>
          <w:szCs w:val="22"/>
        </w:rPr>
        <w:t xml:space="preserve">AI Support Chatbot — An empathetic conversational AI providing real-time support, coping strategies, and curated resources. Not a replacement for therapy, but a first point of contact and ongoing companion. Crisis situations are immediately routed to appropriate hotlines and services.</w:t>
      </w:r>
    </w:p>
    <w:p>
      <w:pPr>
        <w:pStyle w:val="ListParagraph"/>
        <w:numPr>
          <w:ilvl w:val="0"/>
          <w:numId w:val="2"/>
        </w:numPr>
        <w:spacing w:after="120"/>
      </w:pPr>
      <w:r>
        <w:rPr>
          <w:rFonts w:ascii="Arial" w:cs="Arial" w:eastAsia="Arial" w:hAnsi="Arial"/>
          <w:color w:val="5D6D7E"/>
          <w:sz w:val="22"/>
          <w:szCs w:val="22"/>
        </w:rPr>
        <w:t xml:space="preserve">Research Knowledge Base — A searchable, public library of all synthesized research, organized by topic, condition, and practical application, in plain language.</w:t>
      </w:r>
    </w:p>
    <w:p>
      <w:pPr>
        <w:pStyle w:val="ListParagraph"/>
        <w:numPr>
          <w:ilvl w:val="0"/>
          <w:numId w:val="2"/>
        </w:numPr>
        <w:spacing w:after="120"/>
      </w:pPr>
      <w:r>
        <w:rPr>
          <w:rFonts w:ascii="Arial" w:cs="Arial" w:eastAsia="Arial" w:hAnsi="Arial"/>
          <w:color w:val="5D6D7E"/>
          <w:sz w:val="22"/>
          <w:szCs w:val="22"/>
        </w:rPr>
        <w:t xml:space="preserve">Resource Finder — An intelligent tool that connects people with local therapists, support groups, crisis lines, and community services based on their location and needs.</w:t>
      </w:r>
    </w:p>
    <w:p>
      <w:pPr>
        <w:pStyle w:val="Heading1"/>
        <w:pageBreakBefore/>
        <w:spacing w:after="120"/>
      </w:pPr>
      <w:r>
        <w:rPr>
          <w:rFonts w:ascii="Arial" w:cs="Arial" w:eastAsia="Arial" w:hAnsi="Arial"/>
          <w:color w:val="5D6D7E"/>
          <w:sz w:val="22"/>
          <w:szCs w:val="22"/>
        </w:rPr>
        <w:t xml:space="preserve">6. AI Research Agent Architecture</w:t>
      </w:r>
    </w:p>
    <w:p>
      <w:pPr>
        <w:pStyle w:val="Heading2"/>
        <w:spacing w:after="120"/>
      </w:pPr>
      <w:r>
        <w:rPr>
          <w:rFonts w:ascii="Arial" w:cs="Arial" w:eastAsia="Arial" w:hAnsi="Arial"/>
          <w:color w:val="5D6D7E"/>
          <w:sz w:val="22"/>
          <w:szCs w:val="22"/>
        </w:rPr>
        <w:t xml:space="preserve">Multi-Agent System</w:t>
      </w:r>
    </w:p>
    <w:p>
      <w:pPr>
        <w:spacing w:after="120"/>
      </w:pPr>
      <w:r>
        <w:rPr>
          <w:rFonts w:ascii="Arial" w:cs="Arial" w:eastAsia="Arial" w:hAnsi="Arial"/>
          <w:color w:val="5D6D7E"/>
          <w:sz w:val="22"/>
          <w:szCs w:val="22"/>
        </w:rPr>
        <w:t xml:space="preserve">ClearMind Lab deploys a hierarchical multi-agent AI system modeled after a research organization, where specialized AI agents fill distinct roles and operate on a continuous 24-hour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Agent Role</w:t>
            </w:r>
          </w:p>
        </w:tc>
        <w:tc>
          <w:tcPr>
            <w:tcW w:type="dxa" w:w="3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3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Daily Output</w:t>
            </w:r>
          </w:p>
        </w:tc>
      </w:tr>
      <w:tr>
        <w:tc>
          <w:tcPr>
            <w:tcW w:type="dxa" w:w="200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b/>
                <w:bCs/>
                <w:color w:val="5D6D7E"/>
                <w:sz w:val="20"/>
                <w:szCs w:val="20"/>
              </w:rPr>
              <w:t xml:space="preserve">CEO Orchestrator</w:t>
            </w:r>
          </w:p>
        </w:tc>
        <w:tc>
          <w:tcPr>
            <w:tcW w:type="dxa" w:w="368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Coordinates all agents, sets daily priorities, reviews outputs, routes decisions to human oversight</w:t>
            </w:r>
          </w:p>
        </w:tc>
        <w:tc>
          <w:tcPr>
            <w:tcW w:type="dxa" w:w="368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Priority queue, status reports, escalation flags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D6D7E"/>
                <w:sz w:val="20"/>
                <w:szCs w:val="20"/>
              </w:rPr>
              <w:t xml:space="preserve">Research Director</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D6D7E"/>
                <w:sz w:val="20"/>
                <w:szCs w:val="20"/>
              </w:rPr>
              <w:t xml:space="preserve">Scans PubMed, bioRxiv, PsycINFO, ClinicalTrials.gov for new publications and trial updates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D6D7E"/>
                <w:sz w:val="20"/>
                <w:szCs w:val="20"/>
              </w:rPr>
              <w:t xml:space="preserve">50–200 items scanned; 5–15 flagged for deep analysis</w:t>
            </w:r>
          </w:p>
        </w:tc>
      </w:tr>
      <w:tr>
        <w:tc>
          <w:tcPr>
            <w:tcW w:type="dxa" w:w="200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b/>
                <w:bCs/>
                <w:color w:val="5D6D7E"/>
                <w:sz w:val="20"/>
                <w:szCs w:val="20"/>
              </w:rPr>
              <w:t xml:space="preserve">Data Analysts (x3)</w:t>
            </w:r>
          </w:p>
        </w:tc>
        <w:tc>
          <w:tcPr>
            <w:tcW w:type="dxa" w:w="368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Deep-read papers, extract findings, compare against knowledge base, identify trends</w:t>
            </w:r>
          </w:p>
        </w:tc>
        <w:tc>
          <w:tcPr>
            <w:tcW w:type="dxa" w:w="368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Detailed analysis reports for each priority paper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D6D7E"/>
                <w:sz w:val="20"/>
                <w:szCs w:val="20"/>
              </w:rPr>
              <w:t xml:space="preserve">Pattern Detector</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D6D7E"/>
                <w:sz w:val="20"/>
                <w:szCs w:val="20"/>
              </w:rPr>
              <w:t xml:space="preserve">Cross-references findings to identify emerging patterns, underexplored mechanisms, research gaps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D6D7E"/>
                <w:sz w:val="20"/>
                <w:szCs w:val="20"/>
              </w:rPr>
              <w:t xml:space="preserve">Weekly pattern reports, monthly trend analyses</w:t>
            </w:r>
          </w:p>
        </w:tc>
      </w:tr>
      <w:tr>
        <w:tc>
          <w:tcPr>
            <w:tcW w:type="dxa" w:w="200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b/>
                <w:bCs/>
                <w:color w:val="5D6D7E"/>
                <w:sz w:val="20"/>
                <w:szCs w:val="20"/>
              </w:rPr>
              <w:t xml:space="preserve">Quality Controller</w:t>
            </w:r>
          </w:p>
        </w:tc>
        <w:tc>
          <w:tcPr>
            <w:tcW w:type="dxa" w:w="368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Validates scientific rigor, checks for bias, flags methodological limitations</w:t>
            </w:r>
          </w:p>
        </w:tc>
        <w:tc>
          <w:tcPr>
            <w:tcW w:type="dxa" w:w="368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Quality scores, limitation flags, confidence ratings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D6D7E"/>
                <w:sz w:val="20"/>
                <w:szCs w:val="20"/>
              </w:rPr>
              <w:t xml:space="preserve">Communications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D6D7E"/>
                <w:sz w:val="20"/>
                <w:szCs w:val="20"/>
              </w:rPr>
              <w:t xml:space="preserve">Produces digests, reports, social media content, and knowledge base updates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D6D7E"/>
                <w:sz w:val="20"/>
                <w:szCs w:val="20"/>
              </w:rPr>
              <w:t xml:space="preserve">Daily digest, weekly report, social posts</w:t>
            </w:r>
          </w:p>
        </w:tc>
      </w:tr>
    </w:tbl>
    <w:p>
      <w:pPr>
        <w:pStyle w:val="Heading2"/>
        <w:spacing w:after="120"/>
      </w:pPr>
      <w:r>
        <w:rPr>
          <w:rFonts w:ascii="Arial" w:cs="Arial" w:eastAsia="Arial" w:hAnsi="Arial"/>
          <w:color w:val="5D6D7E"/>
          <w:sz w:val="22"/>
          <w:szCs w:val="22"/>
        </w:rPr>
        <w:t xml:space="preserve">Initial Research Topic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Team</w:t>
            </w:r>
          </w:p>
        </w:tc>
        <w:tc>
          <w:tcPr>
            <w:tcW w:type="dxa" w:w="37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Focus Area</w:t>
            </w:r>
          </w:p>
        </w:tc>
        <w:tc>
          <w:tcPr>
            <w:tcW w:type="dxa" w:w="37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Example Output</w:t>
            </w:r>
          </w:p>
        </w:tc>
      </w:tr>
      <w:tr>
        <w:tc>
          <w:tcPr>
            <w:tcW w:type="dxa" w:w="180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b/>
                <w:bCs/>
                <w:color w:val="5D6D7E"/>
                <w:sz w:val="20"/>
                <w:szCs w:val="20"/>
              </w:rPr>
              <w:t xml:space="preserve">Grief &amp; Loss</w:t>
            </w:r>
          </w:p>
        </w:tc>
        <w:tc>
          <w:tcPr>
            <w:tcW w:type="dxa" w:w="378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Child loss, complicated grief, bereavement</w:t>
            </w:r>
          </w:p>
        </w:tc>
        <w:tc>
          <w:tcPr>
            <w:tcW w:type="dxa" w:w="378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New study shows peer support groups reduce prolonged grief symptoms by 40%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D6D7E"/>
                <w:sz w:val="20"/>
                <w:szCs w:val="20"/>
              </w:rPr>
              <w:t xml:space="preserve">PTSD &amp; Trauma</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D6D7E"/>
                <w:sz w:val="20"/>
                <w:szCs w:val="20"/>
              </w:rPr>
              <w:t xml:space="preserve">Medical trauma, combat PTSD, childhood trauma, CPTSD</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D6D7E"/>
                <w:sz w:val="20"/>
                <w:szCs w:val="20"/>
              </w:rPr>
              <w:t xml:space="preserve">Researchers identify new biomarker for early PTSD detection</w:t>
            </w:r>
          </w:p>
        </w:tc>
      </w:tr>
      <w:tr>
        <w:tc>
          <w:tcPr>
            <w:tcW w:type="dxa" w:w="180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b/>
                <w:bCs/>
                <w:color w:val="5D6D7E"/>
                <w:sz w:val="20"/>
                <w:szCs w:val="20"/>
              </w:rPr>
              <w:t xml:space="preserve">Depression</w:t>
            </w:r>
          </w:p>
        </w:tc>
        <w:tc>
          <w:tcPr>
            <w:tcW w:type="dxa" w:w="378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Clinical depression, treatment-resistant depression, seasonal affective</w:t>
            </w:r>
          </w:p>
        </w:tc>
        <w:tc>
          <w:tcPr>
            <w:tcW w:type="dxa" w:w="378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Meta-analysis confirms exercise as effective adjunct to medication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D6D7E"/>
                <w:sz w:val="20"/>
                <w:szCs w:val="20"/>
              </w:rPr>
              <w:t xml:space="preserve">Anxiety</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D6D7E"/>
                <w:sz w:val="20"/>
                <w:szCs w:val="20"/>
              </w:rPr>
              <w:t xml:space="preserve">Generalized anxiety, social anxiety, panic disorder</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D6D7E"/>
                <w:sz w:val="20"/>
                <w:szCs w:val="20"/>
              </w:rPr>
              <w:t xml:space="preserve">AI-assisted CBT shows promise in reducing anxiety symptoms in teens</w:t>
            </w:r>
          </w:p>
        </w:tc>
      </w:tr>
    </w:tbl>
    <w:p>
      <w:pPr>
        <w:spacing w:after="120"/>
      </w:pPr>
      <w:r>
        <w:rPr>
          <w:rFonts w:ascii="Arial" w:cs="Arial" w:eastAsia="Arial" w:hAnsi="Arial"/>
          <w:color w:val="5D6D7E"/>
          <w:sz w:val="22"/>
          <w:szCs w:val="22"/>
        </w:rPr>
        <w:t xml:space="preserve">Additional topic teams will be added as the Foundation grows, potentially covering addiction and recovery, eating disorders, neurodivergence, and caregiver burnout.</w:t>
      </w:r>
    </w:p>
    <w:p>
      <w:pPr>
        <w:pStyle w:val="Heading1"/>
        <w:pageBreakBefore/>
        <w:spacing w:after="120"/>
      </w:pPr>
      <w:r>
        <w:rPr>
          <w:rFonts w:ascii="Arial" w:cs="Arial" w:eastAsia="Arial" w:hAnsi="Arial"/>
          <w:color w:val="5D6D7E"/>
          <w:sz w:val="22"/>
          <w:szCs w:val="22"/>
        </w:rPr>
        <w:t xml:space="preserve">7. Who We Serve</w:t>
      </w:r>
    </w:p>
    <w:p>
      <w:pPr>
        <w:spacing w:after="120"/>
      </w:pPr>
      <w:r>
        <w:rPr>
          <w:rFonts w:ascii="Arial" w:cs="Arial" w:eastAsia="Arial" w:hAnsi="Arial"/>
          <w:color w:val="5D6D7E"/>
          <w:sz w:val="22"/>
          <w:szCs w:val="22"/>
        </w:rPr>
        <w:t xml:space="preserve">The Faith Marie Foundation serves anyone struggling with mental health challenges. While the Foundation was born from the experience of child loss, its mission extends to the broader mental health landscape:</w:t>
      </w:r>
    </w:p>
    <w:p>
      <w:pPr>
        <w:pStyle w:val="ListParagraph"/>
        <w:numPr>
          <w:ilvl w:val="0"/>
          <w:numId w:val="2"/>
        </w:numPr>
        <w:spacing w:after="120"/>
      </w:pPr>
      <w:r>
        <w:rPr>
          <w:rFonts w:ascii="Arial" w:cs="Arial" w:eastAsia="Arial" w:hAnsi="Arial"/>
          <w:color w:val="5D6D7E"/>
          <w:sz w:val="22"/>
          <w:szCs w:val="22"/>
        </w:rPr>
        <w:t xml:space="preserve">Individuals navigating grief, trauma, PTSD, depression, or anxiety</w:t>
      </w:r>
    </w:p>
    <w:p>
      <w:pPr>
        <w:pStyle w:val="ListParagraph"/>
        <w:numPr>
          <w:ilvl w:val="0"/>
          <w:numId w:val="2"/>
        </w:numPr>
        <w:spacing w:after="120"/>
      </w:pPr>
      <w:r>
        <w:rPr>
          <w:rFonts w:ascii="Arial" w:cs="Arial" w:eastAsia="Arial" w:hAnsi="Arial"/>
          <w:color w:val="5D6D7E"/>
          <w:sz w:val="22"/>
          <w:szCs w:val="22"/>
        </w:rPr>
        <w:t xml:space="preserve">Families who have experienced child loss or medical crises</w:t>
      </w:r>
    </w:p>
    <w:p>
      <w:pPr>
        <w:pStyle w:val="ListParagraph"/>
        <w:numPr>
          <w:ilvl w:val="0"/>
          <w:numId w:val="2"/>
        </w:numPr>
        <w:spacing w:after="120"/>
      </w:pPr>
      <w:r>
        <w:rPr>
          <w:rFonts w:ascii="Arial" w:cs="Arial" w:eastAsia="Arial" w:hAnsi="Arial"/>
          <w:color w:val="5D6D7E"/>
          <w:sz w:val="22"/>
          <w:szCs w:val="22"/>
        </w:rPr>
        <w:t xml:space="preserve">Caregivers and loved ones supporting someone through mental health challenges</w:t>
      </w:r>
    </w:p>
    <w:p>
      <w:pPr>
        <w:pStyle w:val="ListParagraph"/>
        <w:numPr>
          <w:ilvl w:val="0"/>
          <w:numId w:val="2"/>
        </w:numPr>
        <w:spacing w:after="120"/>
      </w:pPr>
      <w:r>
        <w:rPr>
          <w:rFonts w:ascii="Arial" w:cs="Arial" w:eastAsia="Arial" w:hAnsi="Arial"/>
          <w:color w:val="5D6D7E"/>
          <w:sz w:val="22"/>
          <w:szCs w:val="22"/>
        </w:rPr>
        <w:t xml:space="preserve">Mental health professionals seeking accessible, current research summaries</w:t>
      </w:r>
    </w:p>
    <w:p>
      <w:pPr>
        <w:pStyle w:val="ListParagraph"/>
        <w:numPr>
          <w:ilvl w:val="0"/>
          <w:numId w:val="2"/>
        </w:numPr>
        <w:spacing w:after="120"/>
      </w:pPr>
      <w:r>
        <w:rPr>
          <w:rFonts w:ascii="Arial" w:cs="Arial" w:eastAsia="Arial" w:hAnsi="Arial"/>
          <w:color w:val="5D6D7E"/>
          <w:sz w:val="22"/>
          <w:szCs w:val="22"/>
        </w:rPr>
        <w:t xml:space="preserve">Researchers looking for AI-synthesized cross-study insights and pattern detection</w:t>
      </w:r>
    </w:p>
    <w:p>
      <w:pPr>
        <w:pStyle w:val="ListParagraph"/>
        <w:numPr>
          <w:ilvl w:val="0"/>
          <w:numId w:val="2"/>
        </w:numPr>
        <w:spacing w:after="120"/>
      </w:pPr>
      <w:r>
        <w:rPr>
          <w:rFonts w:ascii="Arial" w:cs="Arial" w:eastAsia="Arial" w:hAnsi="Arial"/>
          <w:color w:val="5D6D7E"/>
          <w:sz w:val="22"/>
          <w:szCs w:val="22"/>
        </w:rPr>
        <w:t xml:space="preserve">Policymakers seeking evidence-based mental health data for decision-making</w:t>
      </w:r>
    </w:p>
    <w:p>
      <w:pPr>
        <w:pStyle w:val="Heading1"/>
        <w:pageBreakBefore/>
        <w:spacing w:after="120"/>
      </w:pPr>
      <w:r>
        <w:rPr>
          <w:rFonts w:ascii="Arial" w:cs="Arial" w:eastAsia="Arial" w:hAnsi="Arial"/>
          <w:color w:val="5D6D7E"/>
          <w:sz w:val="22"/>
          <w:szCs w:val="22"/>
        </w:rPr>
        <w:t xml:space="preserve">8. Ten-Year Research Roadmap</w:t>
      </w:r>
    </w:p>
    <w:p>
      <w:pPr>
        <w:spacing w:after="120"/>
      </w:pPr>
      <w:r>
        <w:rPr>
          <w:rFonts w:ascii="Arial" w:cs="Arial" w:eastAsia="Arial" w:hAnsi="Arial"/>
          <w:color w:val="5D6D7E"/>
          <w:sz w:val="22"/>
          <w:szCs w:val="22"/>
        </w:rPr>
        <w:t xml:space="preserve">The following roadmap outlines year-by-year goals for the ClearMind Lab research program and the broader Foundation.</w:t>
      </w:r>
    </w:p>
    <w:p>
      <w:pPr>
        <w:pStyle w:val="Heading3"/>
        <w:spacing w:after="120"/>
      </w:pPr>
      <w:r>
        <w:rPr>
          <w:rFonts w:ascii="Arial" w:cs="Arial" w:eastAsia="Arial" w:hAnsi="Arial"/>
          <w:color w:val="5D6D7E"/>
          <w:sz w:val="22"/>
          <w:szCs w:val="22"/>
        </w:rPr>
        <w:t xml:space="preserve">Year 1 (2027) — Foundation</w:t>
      </w:r>
    </w:p>
    <w:p>
      <w:pPr>
        <w:spacing w:after="120"/>
      </w:pPr>
      <w:r>
        <w:rPr>
          <w:rFonts w:ascii="Arial" w:cs="Arial" w:eastAsia="Arial" w:hAnsi="Arial"/>
          <w:color w:val="5D6D7E"/>
          <w:sz w:val="22"/>
          <w:szCs w:val="22"/>
        </w:rPr>
        <w:t xml:space="preserve">Incorporate and file 501(c)(3). Build and deploy core AI research pipeline. Begin daily scanning for grief, PTSD, and depression research. Launch faithmarie.org with knowledge base and resource finder. Publish first monthly research digest. Establish IRB relationship.</w:t>
      </w:r>
    </w:p>
    <w:p>
      <w:pPr>
        <w:pStyle w:val="Heading3"/>
        <w:spacing w:after="120"/>
      </w:pPr>
      <w:r>
        <w:rPr>
          <w:rFonts w:ascii="Arial" w:cs="Arial" w:eastAsia="Arial" w:hAnsi="Arial"/>
          <w:color w:val="5D6D7E"/>
          <w:sz w:val="22"/>
          <w:szCs w:val="22"/>
        </w:rPr>
        <w:t xml:space="preserve">Year 2 (2028) — Expansion</w:t>
      </w:r>
    </w:p>
    <w:p>
      <w:pPr>
        <w:spacing w:after="120"/>
      </w:pPr>
      <w:r>
        <w:rPr>
          <w:rFonts w:ascii="Arial" w:cs="Arial" w:eastAsia="Arial" w:hAnsi="Arial"/>
          <w:color w:val="5D6D7E"/>
          <w:sz w:val="22"/>
          <w:szCs w:val="22"/>
        </w:rPr>
        <w:t xml:space="preserve">Add anxiety as fourth research track. Expand scanning to bioRxiv, PsycINFO, WHO databases. Launch AI support chatbot on faithmarie.org. Launch daily email newsletter. Begin social media presence. Partner with 2–3 university research groups.</w:t>
      </w:r>
    </w:p>
    <w:p>
      <w:pPr>
        <w:pStyle w:val="Heading3"/>
        <w:spacing w:after="120"/>
      </w:pPr>
      <w:r>
        <w:rPr>
          <w:rFonts w:ascii="Arial" w:cs="Arial" w:eastAsia="Arial" w:hAnsi="Arial"/>
          <w:color w:val="5D6D7E"/>
          <w:sz w:val="22"/>
          <w:szCs w:val="22"/>
        </w:rPr>
        <w:t xml:space="preserve">Year 3 (2029) — Deepening</w:t>
      </w:r>
    </w:p>
    <w:p>
      <w:pPr>
        <w:spacing w:after="120"/>
      </w:pPr>
      <w:r>
        <w:rPr>
          <w:rFonts w:ascii="Arial" w:cs="Arial" w:eastAsia="Arial" w:hAnsi="Arial"/>
          <w:color w:val="5D6D7E"/>
          <w:sz w:val="22"/>
          <w:szCs w:val="22"/>
        </w:rPr>
        <w:t xml:space="preserve">Deploy advanced pattern detection across all topics. Publish 4 AI-assisted papers in peer-reviewed journals. Build predictive models for treatment response. Launch mood tracker app prototype. Hire part-time research coordinator and grant writer.</w:t>
      </w:r>
    </w:p>
    <w:p>
      <w:pPr>
        <w:pStyle w:val="Heading3"/>
        <w:spacing w:after="120"/>
      </w:pPr>
      <w:r>
        <w:rPr>
          <w:rFonts w:ascii="Arial" w:cs="Arial" w:eastAsia="Arial" w:hAnsi="Arial"/>
          <w:color w:val="5D6D7E"/>
          <w:sz w:val="22"/>
          <w:szCs w:val="22"/>
        </w:rPr>
        <w:t xml:space="preserve">Year 4 (2030) — Integration</w:t>
      </w:r>
    </w:p>
    <w:p>
      <w:pPr>
        <w:spacing w:after="120"/>
      </w:pPr>
      <w:r>
        <w:rPr>
          <w:rFonts w:ascii="Arial" w:cs="Arial" w:eastAsia="Arial" w:hAnsi="Arial"/>
          <w:color w:val="5D6D7E"/>
          <w:sz w:val="22"/>
          <w:szCs w:val="22"/>
        </w:rPr>
        <w:t xml:space="preserve">Launch heart-brain axis research track. Knowledge base reaches 50,000+ curated findings. Establish clinical advisory board. Begin data sharing agreements with VA medical centers. Publish 8 peer-reviewed papers.</w:t>
      </w:r>
    </w:p>
    <w:p>
      <w:pPr>
        <w:pStyle w:val="Heading3"/>
        <w:spacing w:after="120"/>
      </w:pPr>
      <w:r>
        <w:rPr>
          <w:rFonts w:ascii="Arial" w:cs="Arial" w:eastAsia="Arial" w:hAnsi="Arial"/>
          <w:color w:val="5D6D7E"/>
          <w:sz w:val="22"/>
          <w:szCs w:val="22"/>
        </w:rPr>
        <w:t xml:space="preserve">Year 5 (2031) — Impact</w:t>
      </w:r>
    </w:p>
    <w:p>
      <w:pPr>
        <w:spacing w:after="120"/>
      </w:pPr>
      <w:r>
        <w:rPr>
          <w:rFonts w:ascii="Arial" w:cs="Arial" w:eastAsia="Arial" w:hAnsi="Arial"/>
          <w:color w:val="5D6D7E"/>
          <w:sz w:val="22"/>
          <w:szCs w:val="22"/>
        </w:rPr>
        <w:t xml:space="preserve">Launch clinical evidence dashboard for practitioners. Integrate genomic data sources. Launch mood tracker app publicly. Knowledge base reaches 100,000+ findings. Hire first full-time research scientist. Annual revenue reaches $700K+.</w:t>
      </w:r>
    </w:p>
    <w:p>
      <w:pPr>
        <w:pStyle w:val="Heading3"/>
        <w:spacing w:after="120"/>
      </w:pPr>
      <w:r>
        <w:rPr>
          <w:rFonts w:ascii="Arial" w:cs="Arial" w:eastAsia="Arial" w:hAnsi="Arial"/>
          <w:color w:val="5D6D7E"/>
          <w:sz w:val="22"/>
          <w:szCs w:val="22"/>
        </w:rPr>
        <w:t xml:space="preserve">Year 6 (2032) — Scale</w:t>
      </w:r>
    </w:p>
    <w:p>
      <w:pPr>
        <w:spacing w:after="120"/>
      </w:pPr>
      <w:r>
        <w:rPr>
          <w:rFonts w:ascii="Arial" w:cs="Arial" w:eastAsia="Arial" w:hAnsi="Arial"/>
          <w:color w:val="5D6D7E"/>
          <w:sz w:val="22"/>
          <w:szCs w:val="22"/>
        </w:rPr>
        <w:t xml:space="preserve">Deploy multilingual scanning. Launch digital phenotyping research track. Begin policy research and legislative briefs. Partner with 10+ university research groups nationally. Publish 12+ peer-reviewed papers annually.</w:t>
      </w:r>
    </w:p>
    <w:p>
      <w:pPr>
        <w:pStyle w:val="Heading3"/>
        <w:spacing w:after="120"/>
      </w:pPr>
      <w:r>
        <w:rPr>
          <w:rFonts w:ascii="Arial" w:cs="Arial" w:eastAsia="Arial" w:hAnsi="Arial"/>
          <w:color w:val="5D6D7E"/>
          <w:sz w:val="22"/>
          <w:szCs w:val="22"/>
        </w:rPr>
        <w:t xml:space="preserve">Year 7 (2033) — Innovation</w:t>
      </w:r>
    </w:p>
    <w:p>
      <w:pPr>
        <w:spacing w:after="120"/>
      </w:pPr>
      <w:r>
        <w:rPr>
          <w:rFonts w:ascii="Arial" w:cs="Arial" w:eastAsia="Arial" w:hAnsi="Arial"/>
          <w:color w:val="5D6D7E"/>
          <w:sz w:val="22"/>
          <w:szCs w:val="22"/>
        </w:rPr>
        <w:t xml:space="preserve">Deploy AI-designed clinical trial protocols. Launch automated hypothesis generation. Begin international research partnerships. Release open-source AI research tools. Knowledge base reaches 200,000+ findings.</w:t>
      </w:r>
    </w:p>
    <w:p>
      <w:pPr>
        <w:pStyle w:val="Heading3"/>
        <w:spacing w:after="120"/>
      </w:pPr>
      <w:r>
        <w:rPr>
          <w:rFonts w:ascii="Arial" w:cs="Arial" w:eastAsia="Arial" w:hAnsi="Arial"/>
          <w:color w:val="5D6D7E"/>
          <w:sz w:val="22"/>
          <w:szCs w:val="22"/>
        </w:rPr>
        <w:t xml:space="preserve">Year 8 (2034) — Translation</w:t>
      </w:r>
    </w:p>
    <w:p>
      <w:pPr>
        <w:spacing w:after="120"/>
      </w:pPr>
      <w:r>
        <w:rPr>
          <w:rFonts w:ascii="Arial" w:cs="Arial" w:eastAsia="Arial" w:hAnsi="Arial"/>
          <w:color w:val="5D6D7E"/>
          <w:sz w:val="22"/>
          <w:szCs w:val="22"/>
        </w:rPr>
        <w:t xml:space="preserve">Clinical decision support tool enters validation studies. Launch patient-facing insights platform. Begin FDA pre-submission for clinical software. Expand to 5+ international partnerships. 20+ annual publications.</w:t>
      </w:r>
    </w:p>
    <w:p>
      <w:pPr>
        <w:pStyle w:val="Heading3"/>
        <w:spacing w:after="120"/>
      </w:pPr>
      <w:r>
        <w:rPr>
          <w:rFonts w:ascii="Arial" w:cs="Arial" w:eastAsia="Arial" w:hAnsi="Arial"/>
          <w:color w:val="5D6D7E"/>
          <w:sz w:val="22"/>
          <w:szCs w:val="22"/>
        </w:rPr>
        <w:t xml:space="preserve">Year 9 (2035) — Leadership</w:t>
      </w:r>
    </w:p>
    <w:p>
      <w:pPr>
        <w:spacing w:after="120"/>
      </w:pPr>
      <w:r>
        <w:rPr>
          <w:rFonts w:ascii="Arial" w:cs="Arial" w:eastAsia="Arial" w:hAnsi="Arial"/>
          <w:color w:val="5D6D7E"/>
          <w:sz w:val="22"/>
          <w:szCs w:val="22"/>
        </w:rPr>
        <w:t xml:space="preserve">Clinical tools in use at 10+ healthcare systems. Host first annual Faith Marie Foundation Research Conference. Launch research fellowship program. Policy recommendations influence state-level mental health initiatives.</w:t>
      </w:r>
    </w:p>
    <w:p>
      <w:pPr>
        <w:pStyle w:val="Heading3"/>
        <w:spacing w:after="120"/>
      </w:pPr>
      <w:r>
        <w:rPr>
          <w:rFonts w:ascii="Arial" w:cs="Arial" w:eastAsia="Arial" w:hAnsi="Arial"/>
          <w:color w:val="5D6D7E"/>
          <w:sz w:val="22"/>
          <w:szCs w:val="22"/>
        </w:rPr>
        <w:t xml:space="preserve">Year 10 (2036) — Legacy</w:t>
      </w:r>
    </w:p>
    <w:p>
      <w:pPr>
        <w:spacing w:after="120"/>
      </w:pPr>
      <w:r>
        <w:rPr>
          <w:rFonts w:ascii="Arial" w:cs="Arial" w:eastAsia="Arial" w:hAnsi="Arial"/>
          <w:color w:val="5D6D7E"/>
          <w:sz w:val="22"/>
          <w:szCs w:val="22"/>
        </w:rPr>
        <w:t xml:space="preserve">Knowledge base contains 500,000+ cross-referenced findings. Clinical tools deployed across 25+ healthcare systems. Recognized by NIH/NIMH as official research resource. Annual budget exceeds $5M. Model replicated for other disease domains.</w:t>
      </w:r>
    </w:p>
    <w:p>
      <w:pPr>
        <w:pStyle w:val="Heading1"/>
        <w:pageBreakBefore/>
        <w:spacing w:after="120"/>
      </w:pPr>
      <w:r>
        <w:rPr>
          <w:rFonts w:ascii="Arial" w:cs="Arial" w:eastAsia="Arial" w:hAnsi="Arial"/>
          <w:color w:val="5D6D7E"/>
          <w:sz w:val="22"/>
          <w:szCs w:val="22"/>
        </w:rPr>
        <w:t xml:space="preserve">9. Ten-Year Revenue Plan</w:t>
      </w:r>
    </w:p>
    <w:p>
      <w:pPr>
        <w:spacing w:after="120"/>
      </w:pPr>
      <w:r>
        <w:rPr>
          <w:rFonts w:ascii="Arial" w:cs="Arial" w:eastAsia="Arial" w:hAnsi="Arial"/>
          <w:color w:val="5D6D7E"/>
          <w:sz w:val="22"/>
          <w:szCs w:val="22"/>
        </w:rPr>
        <w:t xml:space="preserve">As a 501(c)(3), the Foundation relies on diversified revenue. The relationship to GrittySystem (the startup) is clearly delineated: the Foundation and GrittySystem share a founder but are financially independent entities. All Foundation revenue goes directly to the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Year</w:t>
            </w:r>
          </w:p>
        </w:tc>
        <w:tc>
          <w:tcPr>
            <w:tcW w:type="dxa" w:w="1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Grants</w:t>
            </w:r>
          </w:p>
        </w:tc>
        <w:tc>
          <w:tcPr>
            <w:tcW w:type="dxa" w:w="1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Donations</w:t>
            </w:r>
          </w:p>
        </w:tc>
        <w:tc>
          <w:tcPr>
            <w:tcW w:type="dxa" w:w="1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Services</w:t>
            </w:r>
          </w:p>
        </w:tc>
        <w:tc>
          <w:tcPr>
            <w:tcW w:type="dxa" w:w="1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Subscriptions</w:t>
            </w:r>
          </w:p>
        </w:tc>
        <w:tc>
          <w:tcPr>
            <w:tcW w:type="dxa" w:w="1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Other</w:t>
            </w:r>
          </w:p>
        </w:tc>
        <w:tc>
          <w:tcPr>
            <w:tcW w:type="dxa" w:w="1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Total</w:t>
            </w:r>
          </w:p>
        </w:tc>
      </w:tr>
      <w:tr>
        <w:tc>
          <w:tcPr>
            <w:tcW w:type="dxa" w:w="240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b/>
                <w:bCs/>
                <w:color w:val="5D6D7E"/>
                <w:sz w:val="20"/>
                <w:szCs w:val="20"/>
              </w:rPr>
              <w:t xml:space="preserve">Year 1</w:t>
            </w:r>
          </w:p>
        </w:tc>
        <w:tc>
          <w:tcPr>
            <w:tcW w:type="dxa" w:w="11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$25K</w:t>
            </w:r>
          </w:p>
        </w:tc>
        <w:tc>
          <w:tcPr>
            <w:tcW w:type="dxa" w:w="11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$15K</w:t>
            </w:r>
          </w:p>
        </w:tc>
        <w:tc>
          <w:tcPr>
            <w:tcW w:type="dxa" w:w="11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$0</w:t>
            </w:r>
          </w:p>
        </w:tc>
        <w:tc>
          <w:tcPr>
            <w:tcW w:type="dxa" w:w="11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$0</w:t>
            </w:r>
          </w:p>
        </w:tc>
        <w:tc>
          <w:tcPr>
            <w:tcW w:type="dxa" w:w="11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$0</w:t>
            </w:r>
          </w:p>
        </w:tc>
        <w:tc>
          <w:tcPr>
            <w:tcW w:type="dxa" w:w="11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b/>
                <w:bCs/>
                <w:color w:val="5D6D7E"/>
                <w:sz w:val="20"/>
                <w:szCs w:val="20"/>
              </w:rPr>
              <w:t xml:space="preserve">$40K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D6D7E"/>
                <w:sz w:val="20"/>
                <w:szCs w:val="20"/>
              </w:rPr>
              <w:t xml:space="preserve">Year 2</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$75K</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$30K</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$5K</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$5K</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$0</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5D6D7E"/>
                <w:sz w:val="20"/>
                <w:szCs w:val="20"/>
              </w:rPr>
              <w:t xml:space="preserve">$115K</w:t>
            </w:r>
          </w:p>
        </w:tc>
      </w:tr>
      <w:tr>
        <w:tc>
          <w:tcPr>
            <w:tcW w:type="dxa" w:w="240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b/>
                <w:bCs/>
                <w:color w:val="5D6D7E"/>
                <w:sz w:val="20"/>
                <w:szCs w:val="20"/>
              </w:rPr>
              <w:t xml:space="preserve">Year 3</w:t>
            </w:r>
          </w:p>
        </w:tc>
        <w:tc>
          <w:tcPr>
            <w:tcW w:type="dxa" w:w="11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$150K</w:t>
            </w:r>
          </w:p>
        </w:tc>
        <w:tc>
          <w:tcPr>
            <w:tcW w:type="dxa" w:w="11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$50K</w:t>
            </w:r>
          </w:p>
        </w:tc>
        <w:tc>
          <w:tcPr>
            <w:tcW w:type="dxa" w:w="11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$20K</w:t>
            </w:r>
          </w:p>
        </w:tc>
        <w:tc>
          <w:tcPr>
            <w:tcW w:type="dxa" w:w="11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$10K</w:t>
            </w:r>
          </w:p>
        </w:tc>
        <w:tc>
          <w:tcPr>
            <w:tcW w:type="dxa" w:w="11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$10K</w:t>
            </w:r>
          </w:p>
        </w:tc>
        <w:tc>
          <w:tcPr>
            <w:tcW w:type="dxa" w:w="11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b/>
                <w:bCs/>
                <w:color w:val="5D6D7E"/>
                <w:sz w:val="20"/>
                <w:szCs w:val="20"/>
              </w:rPr>
              <w:t xml:space="preserve">$240K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D6D7E"/>
                <w:sz w:val="20"/>
                <w:szCs w:val="20"/>
              </w:rPr>
              <w:t xml:space="preserve">Year 4</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$250K</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$75K</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$50K</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$30K</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$25K</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5D6D7E"/>
                <w:sz w:val="20"/>
                <w:szCs w:val="20"/>
              </w:rPr>
              <w:t xml:space="preserve">$430K</w:t>
            </w:r>
          </w:p>
        </w:tc>
      </w:tr>
      <w:tr>
        <w:tc>
          <w:tcPr>
            <w:tcW w:type="dxa" w:w="240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b/>
                <w:bCs/>
                <w:color w:val="5D6D7E"/>
                <w:sz w:val="20"/>
                <w:szCs w:val="20"/>
              </w:rPr>
              <w:t xml:space="preserve">Year 5</w:t>
            </w:r>
          </w:p>
        </w:tc>
        <w:tc>
          <w:tcPr>
            <w:tcW w:type="dxa" w:w="11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$400K</w:t>
            </w:r>
          </w:p>
        </w:tc>
        <w:tc>
          <w:tcPr>
            <w:tcW w:type="dxa" w:w="11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$100K</w:t>
            </w:r>
          </w:p>
        </w:tc>
        <w:tc>
          <w:tcPr>
            <w:tcW w:type="dxa" w:w="11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$100K</w:t>
            </w:r>
          </w:p>
        </w:tc>
        <w:tc>
          <w:tcPr>
            <w:tcW w:type="dxa" w:w="11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$60K</w:t>
            </w:r>
          </w:p>
        </w:tc>
        <w:tc>
          <w:tcPr>
            <w:tcW w:type="dxa" w:w="11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$50K</w:t>
            </w:r>
          </w:p>
        </w:tc>
        <w:tc>
          <w:tcPr>
            <w:tcW w:type="dxa" w:w="11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b/>
                <w:bCs/>
                <w:color w:val="5D6D7E"/>
                <w:sz w:val="20"/>
                <w:szCs w:val="20"/>
              </w:rPr>
              <w:t xml:space="preserve">$710K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D6D7E"/>
                <w:sz w:val="20"/>
                <w:szCs w:val="20"/>
              </w:rPr>
              <w:t xml:space="preserve">Year 7</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$700K</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$200K</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$200K</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$150K</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$130K</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5D6D7E"/>
                <w:sz w:val="20"/>
                <w:szCs w:val="20"/>
              </w:rPr>
              <w:t xml:space="preserve">$1.38M</w:t>
            </w:r>
          </w:p>
        </w:tc>
      </w:tr>
      <w:tr>
        <w:tc>
          <w:tcPr>
            <w:tcW w:type="dxa" w:w="240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b/>
                <w:bCs/>
                <w:color w:val="5D6D7E"/>
                <w:sz w:val="20"/>
                <w:szCs w:val="20"/>
              </w:rPr>
              <w:t xml:space="preserve">Year 10</w:t>
            </w:r>
          </w:p>
        </w:tc>
        <w:tc>
          <w:tcPr>
            <w:tcW w:type="dxa" w:w="11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$1.5M</w:t>
            </w:r>
          </w:p>
        </w:tc>
        <w:tc>
          <w:tcPr>
            <w:tcW w:type="dxa" w:w="11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$500K</w:t>
            </w:r>
          </w:p>
        </w:tc>
        <w:tc>
          <w:tcPr>
            <w:tcW w:type="dxa" w:w="11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$600K</w:t>
            </w:r>
          </w:p>
        </w:tc>
        <w:tc>
          <w:tcPr>
            <w:tcW w:type="dxa" w:w="11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$450K</w:t>
            </w:r>
          </w:p>
        </w:tc>
        <w:tc>
          <w:tcPr>
            <w:tcW w:type="dxa" w:w="11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b w:val="false"/>
                <w:bCs w:val="false"/>
                <w:color w:val="5D6D7E"/>
                <w:sz w:val="20"/>
                <w:szCs w:val="20"/>
              </w:rPr>
              <w:t xml:space="preserve">$325K</w:t>
            </w:r>
          </w:p>
        </w:tc>
        <w:tc>
          <w:tcPr>
            <w:tcW w:type="dxa" w:w="11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b/>
                <w:bCs/>
                <w:color w:val="5D6D7E"/>
                <w:sz w:val="20"/>
                <w:szCs w:val="20"/>
              </w:rPr>
              <w:t xml:space="preserve">$3.38M</w:t>
            </w:r>
          </w:p>
        </w:tc>
      </w:tr>
    </w:tbl>
    <w:p>
      <w:pPr>
        <w:pStyle w:val="Heading2"/>
        <w:spacing w:after="120"/>
      </w:pPr>
      <w:r>
        <w:rPr>
          <w:rFonts w:ascii="Arial" w:cs="Arial" w:eastAsia="Arial" w:hAnsi="Arial"/>
          <w:color w:val="5D6D7E"/>
          <w:sz w:val="22"/>
          <w:szCs w:val="22"/>
        </w:rPr>
        <w:t xml:space="preserve">Revenue Sources</w:t>
      </w:r>
    </w:p>
    <w:p>
      <w:pPr>
        <w:pStyle w:val="ListParagraph"/>
        <w:numPr>
          <w:ilvl w:val="0"/>
          <w:numId w:val="2"/>
        </w:numPr>
        <w:spacing w:after="120"/>
      </w:pPr>
      <w:r>
        <w:rPr>
          <w:rFonts w:ascii="Arial" w:cs="Arial" w:eastAsia="Arial" w:hAnsi="Arial"/>
          <w:color w:val="5D6D7E"/>
          <w:sz w:val="22"/>
          <w:szCs w:val="22"/>
        </w:rPr>
        <w:t xml:space="preserve">Grants — NIH (R21, R01), NIMH, NSF, SAMHSA, Brain &amp; Behavior Research Foundation, American Foundation for Suicide Prevention, Robert Wood Johnson Foundation, state mental health innovation grants</w:t>
      </w:r>
    </w:p>
    <w:p>
      <w:pPr>
        <w:pStyle w:val="ListParagraph"/>
        <w:numPr>
          <w:ilvl w:val="0"/>
          <w:numId w:val="2"/>
        </w:numPr>
        <w:spacing w:after="120"/>
      </w:pPr>
      <w:r>
        <w:rPr>
          <w:rFonts w:ascii="Arial" w:cs="Arial" w:eastAsia="Arial" w:hAnsi="Arial"/>
          <w:color w:val="5D6D7E"/>
          <w:sz w:val="22"/>
          <w:szCs w:val="22"/>
        </w:rPr>
        <w:t xml:space="preserve">Individual Donations — Tax-deductible contributions, annual giving campaigns, major donor cultivation, planned giving</w:t>
      </w:r>
    </w:p>
    <w:p>
      <w:pPr>
        <w:pStyle w:val="ListParagraph"/>
        <w:numPr>
          <w:ilvl w:val="0"/>
          <w:numId w:val="2"/>
        </w:numPr>
        <w:spacing w:after="120"/>
      </w:pPr>
      <w:r>
        <w:rPr>
          <w:rFonts w:ascii="Arial" w:cs="Arial" w:eastAsia="Arial" w:hAnsi="Arial"/>
          <w:color w:val="5D6D7E"/>
          <w:sz w:val="22"/>
          <w:szCs w:val="22"/>
        </w:rPr>
        <w:t xml:space="preserve">Research Services — Custom AI-assisted literature reviews for pharma companies, academic institutions, healthcare systems</w:t>
      </w:r>
    </w:p>
    <w:p>
      <w:pPr>
        <w:pStyle w:val="ListParagraph"/>
        <w:numPr>
          <w:ilvl w:val="0"/>
          <w:numId w:val="2"/>
        </w:numPr>
        <w:spacing w:after="120"/>
      </w:pPr>
      <w:r>
        <w:rPr>
          <w:rFonts w:ascii="Arial" w:cs="Arial" w:eastAsia="Arial" w:hAnsi="Arial"/>
          <w:color w:val="5D6D7E"/>
          <w:sz w:val="22"/>
          <w:szCs w:val="22"/>
        </w:rPr>
        <w:t xml:space="preserve">Subscriptions — Premium knowledge base access, API access for institutional researchers, priority research digests</w:t>
      </w:r>
    </w:p>
    <w:p>
      <w:pPr>
        <w:pStyle w:val="ListParagraph"/>
        <w:numPr>
          <w:ilvl w:val="0"/>
          <w:numId w:val="2"/>
        </w:numPr>
        <w:spacing w:after="120"/>
      </w:pPr>
      <w:r>
        <w:rPr>
          <w:rFonts w:ascii="Arial" w:cs="Arial" w:eastAsia="Arial" w:hAnsi="Arial"/>
          <w:color w:val="5D6D7E"/>
          <w:sz w:val="22"/>
          <w:szCs w:val="22"/>
        </w:rPr>
        <w:t xml:space="preserve">Other — Corporate wellness sponsorships, conference sponsorships, licensing of AI tools and clinical software</w:t>
      </w:r>
    </w:p>
    <w:p>
      <w:pPr>
        <w:pStyle w:val="Heading1"/>
        <w:pageBreakBefore/>
        <w:spacing w:after="120"/>
      </w:pPr>
      <w:r>
        <w:rPr>
          <w:rFonts w:ascii="Arial" w:cs="Arial" w:eastAsia="Arial" w:hAnsi="Arial"/>
          <w:color w:val="5D6D7E"/>
          <w:sz w:val="22"/>
          <w:szCs w:val="22"/>
        </w:rPr>
        <w:t xml:space="preserve">10. Technology Infrastructure</w:t>
      </w:r>
    </w:p>
    <w:p>
      <w:pPr>
        <w:pStyle w:val="Heading2"/>
        <w:spacing w:after="120"/>
      </w:pPr>
      <w:r>
        <w:rPr>
          <w:rFonts w:ascii="Arial" w:cs="Arial" w:eastAsia="Arial" w:hAnsi="Arial"/>
          <w:color w:val="5D6D7E"/>
          <w:sz w:val="22"/>
          <w:szCs w:val="22"/>
        </w:rPr>
        <w:t xml:space="preserve">Core Platform</w:t>
      </w:r>
    </w:p>
    <w:p>
      <w:pPr>
        <w:pStyle w:val="ListParagraph"/>
        <w:numPr>
          <w:ilvl w:val="0"/>
          <w:numId w:val="2"/>
        </w:numPr>
        <w:spacing w:after="120"/>
      </w:pPr>
      <w:r>
        <w:rPr>
          <w:rFonts w:ascii="Arial" w:cs="Arial" w:eastAsia="Arial" w:hAnsi="Arial"/>
          <w:color w:val="5D6D7E"/>
          <w:sz w:val="22"/>
          <w:szCs w:val="22"/>
        </w:rPr>
        <w:t xml:space="preserve">Multi-agent AI framework built on LangChain/CrewAI or equivalent orchestration platform</w:t>
      </w:r>
    </w:p>
    <w:p>
      <w:pPr>
        <w:pStyle w:val="ListParagraph"/>
        <w:numPr>
          <w:ilvl w:val="0"/>
          <w:numId w:val="2"/>
        </w:numPr>
        <w:spacing w:after="120"/>
      </w:pPr>
      <w:r>
        <w:rPr>
          <w:rFonts w:ascii="Arial" w:cs="Arial" w:eastAsia="Arial" w:hAnsi="Arial"/>
          <w:color w:val="5D6D7E"/>
          <w:sz w:val="22"/>
          <w:szCs w:val="22"/>
        </w:rPr>
        <w:t xml:space="preserve">Cloud hosting on AWS or Google Cloud with HIPAA-compliant configurations</w:t>
      </w:r>
    </w:p>
    <w:p>
      <w:pPr>
        <w:pStyle w:val="ListParagraph"/>
        <w:numPr>
          <w:ilvl w:val="0"/>
          <w:numId w:val="2"/>
        </w:numPr>
        <w:spacing w:after="120"/>
      </w:pPr>
      <w:r>
        <w:rPr>
          <w:rFonts w:ascii="Arial" w:cs="Arial" w:eastAsia="Arial" w:hAnsi="Arial"/>
          <w:color w:val="5D6D7E"/>
          <w:sz w:val="22"/>
          <w:szCs w:val="22"/>
        </w:rPr>
        <w:t xml:space="preserve">PostgreSQL database with vector search for the knowledge base</w:t>
      </w:r>
    </w:p>
    <w:p>
      <w:pPr>
        <w:pStyle w:val="ListParagraph"/>
        <w:numPr>
          <w:ilvl w:val="0"/>
          <w:numId w:val="2"/>
        </w:numPr>
        <w:spacing w:after="120"/>
      </w:pPr>
      <w:r>
        <w:rPr>
          <w:rFonts w:ascii="Arial" w:cs="Arial" w:eastAsia="Arial" w:hAnsi="Arial"/>
          <w:color w:val="5D6D7E"/>
          <w:sz w:val="22"/>
          <w:szCs w:val="22"/>
        </w:rPr>
        <w:t xml:space="preserve">API integrations: PubMed API (free), Semantic Scholar API, ClinicalTrials.gov API</w:t>
      </w:r>
    </w:p>
    <w:p>
      <w:pPr>
        <w:pStyle w:val="ListParagraph"/>
        <w:numPr>
          <w:ilvl w:val="0"/>
          <w:numId w:val="2"/>
        </w:numPr>
        <w:spacing w:after="120"/>
      </w:pPr>
      <w:r>
        <w:rPr>
          <w:rFonts w:ascii="Arial" w:cs="Arial" w:eastAsia="Arial" w:hAnsi="Arial"/>
          <w:color w:val="5D6D7E"/>
          <w:sz w:val="22"/>
          <w:szCs w:val="22"/>
        </w:rPr>
        <w:t xml:space="preserve">Next.js website deployed on Vercel with auto-updating daily content</w:t>
      </w:r>
    </w:p>
    <w:p>
      <w:pPr>
        <w:pStyle w:val="ListParagraph"/>
        <w:numPr>
          <w:ilvl w:val="0"/>
          <w:numId w:val="2"/>
        </w:numPr>
        <w:spacing w:after="120"/>
      </w:pPr>
      <w:r>
        <w:rPr>
          <w:rFonts w:ascii="Arial" w:cs="Arial" w:eastAsia="Arial" w:hAnsi="Arial"/>
          <w:color w:val="5D6D7E"/>
          <w:sz w:val="22"/>
          <w:szCs w:val="22"/>
        </w:rPr>
        <w:t xml:space="preserve">Email newsletter via Mailchimp, ConvertKit, or Resend</w:t>
      </w:r>
    </w:p>
    <w:p>
      <w:pPr>
        <w:pStyle w:val="Heading2"/>
        <w:spacing w:after="120"/>
      </w:pPr>
      <w:r>
        <w:rPr>
          <w:rFonts w:ascii="Arial" w:cs="Arial" w:eastAsia="Arial" w:hAnsi="Arial"/>
          <w:color w:val="5D6D7E"/>
          <w:sz w:val="22"/>
          <w:szCs w:val="22"/>
        </w:rPr>
        <w:t xml:space="preserve">AI Models</w:t>
      </w:r>
    </w:p>
    <w:p>
      <w:pPr>
        <w:pStyle w:val="ListParagraph"/>
        <w:numPr>
          <w:ilvl w:val="0"/>
          <w:numId w:val="2"/>
        </w:numPr>
        <w:spacing w:after="120"/>
      </w:pPr>
      <w:r>
        <w:rPr>
          <w:rFonts w:ascii="Arial" w:cs="Arial" w:eastAsia="Arial" w:hAnsi="Arial"/>
          <w:color w:val="5D6D7E"/>
          <w:sz w:val="22"/>
          <w:szCs w:val="22"/>
        </w:rPr>
        <w:t xml:space="preserve">Anthropic Claude API for paper analysis, synthesis, and agent orchestration</w:t>
      </w:r>
    </w:p>
    <w:p>
      <w:pPr>
        <w:pStyle w:val="ListParagraph"/>
        <w:numPr>
          <w:ilvl w:val="0"/>
          <w:numId w:val="2"/>
        </w:numPr>
        <w:spacing w:after="120"/>
      </w:pPr>
      <w:r>
        <w:rPr>
          <w:rFonts w:ascii="Arial" w:cs="Arial" w:eastAsia="Arial" w:hAnsi="Arial"/>
          <w:color w:val="5D6D7E"/>
          <w:sz w:val="22"/>
          <w:szCs w:val="22"/>
        </w:rPr>
        <w:t xml:space="preserve">Custom fine-tuned models for mental health domain-specific tasks</w:t>
      </w:r>
    </w:p>
    <w:p>
      <w:pPr>
        <w:pStyle w:val="ListParagraph"/>
        <w:numPr>
          <w:ilvl w:val="0"/>
          <w:numId w:val="2"/>
        </w:numPr>
        <w:spacing w:after="120"/>
      </w:pPr>
      <w:r>
        <w:rPr>
          <w:rFonts w:ascii="Arial" w:cs="Arial" w:eastAsia="Arial" w:hAnsi="Arial"/>
          <w:color w:val="5D6D7E"/>
          <w:sz w:val="22"/>
          <w:szCs w:val="22"/>
        </w:rPr>
        <w:t xml:space="preserve">Embedding models for semantic search and pattern detection</w:t>
      </w:r>
    </w:p>
    <w:p>
      <w:pPr>
        <w:pStyle w:val="ListParagraph"/>
        <w:numPr>
          <w:ilvl w:val="0"/>
          <w:numId w:val="2"/>
        </w:numPr>
        <w:spacing w:after="120"/>
      </w:pPr>
      <w:r>
        <w:rPr>
          <w:rFonts w:ascii="Arial" w:cs="Arial" w:eastAsia="Arial" w:hAnsi="Arial"/>
          <w:color w:val="5D6D7E"/>
          <w:sz w:val="22"/>
          <w:szCs w:val="22"/>
        </w:rPr>
        <w:t xml:space="preserve">Safety-filtered model for the AI support chatbot with crisis escalation protocols</w:t>
      </w:r>
    </w:p>
    <w:p>
      <w:pPr>
        <w:pStyle w:val="Heading2"/>
        <w:spacing w:after="120"/>
      </w:pPr>
      <w:r>
        <w:rPr>
          <w:rFonts w:ascii="Arial" w:cs="Arial" w:eastAsia="Arial" w:hAnsi="Arial"/>
          <w:color w:val="5D6D7E"/>
          <w:sz w:val="22"/>
          <w:szCs w:val="22"/>
        </w:rPr>
        <w:t xml:space="preserve">Estimated Year 1 Technology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Annual Cost</w:t>
            </w:r>
          </w:p>
        </w:tc>
      </w:tr>
      <w:tr>
        <w:tc>
          <w:tcPr>
            <w:tcW w:type="dxa" w:w="500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Cloud hosting (AWS/GCP)</w:t>
            </w:r>
          </w:p>
        </w:tc>
        <w:tc>
          <w:tcPr>
            <w:tcW w:type="dxa" w:w="43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color w:val="5D6D7E"/>
                <w:sz w:val="20"/>
                <w:szCs w:val="20"/>
              </w:rPr>
              <w:t xml:space="preserve">$3,600 – $6,000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D6D7E"/>
                <w:sz w:val="20"/>
                <w:szCs w:val="20"/>
              </w:rPr>
              <w:t xml:space="preserve">AI API costs (LLM inference)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5D6D7E"/>
                <w:sz w:val="20"/>
                <w:szCs w:val="20"/>
              </w:rPr>
              <w:t xml:space="preserve">$6,000 – $12,000</w:t>
            </w:r>
          </w:p>
        </w:tc>
      </w:tr>
      <w:tr>
        <w:tc>
          <w:tcPr>
            <w:tcW w:type="dxa" w:w="500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Database and storage</w:t>
            </w:r>
          </w:p>
        </w:tc>
        <w:tc>
          <w:tcPr>
            <w:tcW w:type="dxa" w:w="43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color w:val="5D6D7E"/>
                <w:sz w:val="20"/>
                <w:szCs w:val="20"/>
              </w:rPr>
              <w:t xml:space="preserve">$1,200 – $2,400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D6D7E"/>
                <w:sz w:val="20"/>
                <w:szCs w:val="20"/>
              </w:rPr>
              <w:t xml:space="preserve">Domain, website, and tools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5D6D7E"/>
                <w:sz w:val="20"/>
                <w:szCs w:val="20"/>
              </w:rPr>
              <w:t xml:space="preserve">$500 – $1,000</w:t>
            </w:r>
          </w:p>
        </w:tc>
      </w:tr>
      <w:tr>
        <w:tc>
          <w:tcPr>
            <w:tcW w:type="dxa" w:w="500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Email and newsletter service</w:t>
            </w:r>
          </w:p>
        </w:tc>
        <w:tc>
          <w:tcPr>
            <w:tcW w:type="dxa" w:w="436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pPr>
              <w:jc w:val="right"/>
            </w:pPr>
            <w:r>
              <w:rPr>
                <w:rFonts w:ascii="Arial" w:cs="Arial" w:eastAsia="Arial" w:hAnsi="Arial"/>
                <w:color w:val="5D6D7E"/>
                <w:sz w:val="20"/>
                <w:szCs w:val="20"/>
              </w:rPr>
              <w:t xml:space="preserve">$300 – $600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D6D7E"/>
                <w:sz w:val="20"/>
                <w:szCs w:val="20"/>
              </w:rPr>
              <w:t xml:space="preserve">Total Estimated Year 1 Costs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5D6D7E"/>
                <w:sz w:val="20"/>
                <w:szCs w:val="20"/>
              </w:rPr>
              <w:t xml:space="preserve">$11,600 – $22,000</w:t>
            </w:r>
          </w:p>
        </w:tc>
      </w:tr>
    </w:tbl>
    <w:p>
      <w:pPr>
        <w:pStyle w:val="Heading1"/>
        <w:pageBreakBefore/>
        <w:spacing w:after="120"/>
      </w:pPr>
      <w:r>
        <w:rPr>
          <w:rFonts w:ascii="Arial" w:cs="Arial" w:eastAsia="Arial" w:hAnsi="Arial"/>
          <w:color w:val="5D6D7E"/>
          <w:sz w:val="22"/>
          <w:szCs w:val="22"/>
        </w:rPr>
        <w:t xml:space="preserve">11. Formation &amp; Legal Steps</w:t>
      </w:r>
    </w:p>
    <w:p>
      <w:pPr>
        <w:pStyle w:val="Heading2"/>
        <w:spacing w:after="120"/>
      </w:pPr>
      <w:r>
        <w:rPr>
          <w:rFonts w:ascii="Arial" w:cs="Arial" w:eastAsia="Arial" w:hAnsi="Arial"/>
          <w:color w:val="5D6D7E"/>
          <w:sz w:val="22"/>
          <w:szCs w:val="22"/>
        </w:rPr>
        <w:t xml:space="preserve">Incorporation Checklist</w:t>
      </w:r>
    </w:p>
    <w:p>
      <w:pPr>
        <w:pStyle w:val="ListParagraph"/>
        <w:numPr>
          <w:ilvl w:val="0"/>
          <w:numId w:val="3"/>
        </w:numPr>
        <w:spacing w:after="120"/>
      </w:pPr>
      <w:r>
        <w:rPr>
          <w:rFonts w:ascii="Arial" w:cs="Arial" w:eastAsia="Arial" w:hAnsi="Arial"/>
          <w:color w:val="5D6D7E"/>
          <w:sz w:val="22"/>
          <w:szCs w:val="22"/>
        </w:rPr>
        <w:t xml:space="preserve">Choose and reserve business name “Faith Marie Foundation” with Texas Secretary of State</w:t>
      </w:r>
    </w:p>
    <w:p>
      <w:pPr>
        <w:pStyle w:val="ListParagraph"/>
        <w:numPr>
          <w:ilvl w:val="0"/>
          <w:numId w:val="3"/>
        </w:numPr>
        <w:spacing w:after="120"/>
      </w:pPr>
      <w:r>
        <w:rPr>
          <w:rFonts w:ascii="Arial" w:cs="Arial" w:eastAsia="Arial" w:hAnsi="Arial"/>
          <w:color w:val="5D6D7E"/>
          <w:sz w:val="22"/>
          <w:szCs w:val="22"/>
        </w:rPr>
        <w:t xml:space="preserve">File Certificate of Formation (Form 202) with Texas SOS (~$25 filing fee)</w:t>
      </w:r>
    </w:p>
    <w:p>
      <w:pPr>
        <w:pStyle w:val="ListParagraph"/>
        <w:numPr>
          <w:ilvl w:val="0"/>
          <w:numId w:val="3"/>
        </w:numPr>
        <w:spacing w:after="120"/>
      </w:pPr>
      <w:r>
        <w:rPr>
          <w:rFonts w:ascii="Arial" w:cs="Arial" w:eastAsia="Arial" w:hAnsi="Arial"/>
          <w:color w:val="5D6D7E"/>
          <w:sz w:val="22"/>
          <w:szCs w:val="22"/>
        </w:rPr>
        <w:t xml:space="preserve">Obtain Employer Identification Number (EIN) from the IRS (free, immediate online)</w:t>
      </w:r>
    </w:p>
    <w:p>
      <w:pPr>
        <w:pStyle w:val="ListParagraph"/>
        <w:numPr>
          <w:ilvl w:val="0"/>
          <w:numId w:val="3"/>
        </w:numPr>
        <w:spacing w:after="120"/>
      </w:pPr>
      <w:r>
        <w:rPr>
          <w:rFonts w:ascii="Arial" w:cs="Arial" w:eastAsia="Arial" w:hAnsi="Arial"/>
          <w:color w:val="5D6D7E"/>
          <w:sz w:val="22"/>
          <w:szCs w:val="22"/>
        </w:rPr>
        <w:t xml:space="preserve">Draft bylaws, conflict of interest policy, and whistleblower policy</w:t>
      </w:r>
    </w:p>
    <w:p>
      <w:pPr>
        <w:pStyle w:val="ListParagraph"/>
        <w:numPr>
          <w:ilvl w:val="0"/>
          <w:numId w:val="3"/>
        </w:numPr>
        <w:spacing w:after="120"/>
      </w:pPr>
      <w:r>
        <w:rPr>
          <w:rFonts w:ascii="Arial" w:cs="Arial" w:eastAsia="Arial" w:hAnsi="Arial"/>
          <w:color w:val="5D6D7E"/>
          <w:sz w:val="22"/>
          <w:szCs w:val="22"/>
        </w:rPr>
        <w:t xml:space="preserve">Hold organizational meeting; appoint initial board of directors (Levi Moses, Bob Teel, TBD)</w:t>
      </w:r>
    </w:p>
    <w:p>
      <w:pPr>
        <w:pStyle w:val="ListParagraph"/>
        <w:numPr>
          <w:ilvl w:val="0"/>
          <w:numId w:val="3"/>
        </w:numPr>
        <w:spacing w:after="120"/>
      </w:pPr>
      <w:r>
        <w:rPr>
          <w:rFonts w:ascii="Arial" w:cs="Arial" w:eastAsia="Arial" w:hAnsi="Arial"/>
          <w:color w:val="5D6D7E"/>
          <w:sz w:val="22"/>
          <w:szCs w:val="22"/>
        </w:rPr>
        <w:t xml:space="preserve">Apply for 501(c)(3) tax-exempt status (IRS Form 1023 or 1023-EZ; $275–$600 fee)</w:t>
      </w:r>
    </w:p>
    <w:p>
      <w:pPr>
        <w:pStyle w:val="ListParagraph"/>
        <w:numPr>
          <w:ilvl w:val="0"/>
          <w:numId w:val="3"/>
        </w:numPr>
        <w:spacing w:after="120"/>
      </w:pPr>
      <w:r>
        <w:rPr>
          <w:rFonts w:ascii="Arial" w:cs="Arial" w:eastAsia="Arial" w:hAnsi="Arial"/>
          <w:color w:val="5D6D7E"/>
          <w:sz w:val="22"/>
          <w:szCs w:val="22"/>
        </w:rPr>
        <w:t xml:space="preserve">Register for Texas state tax exemption</w:t>
      </w:r>
    </w:p>
    <w:p>
      <w:pPr>
        <w:pStyle w:val="ListParagraph"/>
        <w:numPr>
          <w:ilvl w:val="0"/>
          <w:numId w:val="3"/>
        </w:numPr>
        <w:spacing w:after="120"/>
      </w:pPr>
      <w:r>
        <w:rPr>
          <w:rFonts w:ascii="Arial" w:cs="Arial" w:eastAsia="Arial" w:hAnsi="Arial"/>
          <w:color w:val="5D6D7E"/>
          <w:sz w:val="22"/>
          <w:szCs w:val="22"/>
        </w:rPr>
        <w:t xml:space="preserve">Open a non-profit bank account</w:t>
      </w:r>
    </w:p>
    <w:p>
      <w:pPr>
        <w:pStyle w:val="ListParagraph"/>
        <w:numPr>
          <w:ilvl w:val="0"/>
          <w:numId w:val="3"/>
        </w:numPr>
        <w:spacing w:after="120"/>
      </w:pPr>
      <w:r>
        <w:rPr>
          <w:rFonts w:ascii="Arial" w:cs="Arial" w:eastAsia="Arial" w:hAnsi="Arial"/>
          <w:color w:val="5D6D7E"/>
          <w:sz w:val="22"/>
          <w:szCs w:val="22"/>
        </w:rPr>
        <w:t xml:space="preserve">Register ClearMind Lab as a DBA/program name if desired</w:t>
      </w:r>
    </w:p>
    <w:p>
      <w:pPr>
        <w:pStyle w:val="ListParagraph"/>
        <w:numPr>
          <w:ilvl w:val="0"/>
          <w:numId w:val="3"/>
        </w:numPr>
        <w:spacing w:after="120"/>
      </w:pPr>
      <w:r>
        <w:rPr>
          <w:rFonts w:ascii="Arial" w:cs="Arial" w:eastAsia="Arial" w:hAnsi="Arial"/>
          <w:color w:val="5D6D7E"/>
          <w:sz w:val="22"/>
          <w:szCs w:val="22"/>
        </w:rPr>
        <w:t xml:space="preserve">Obtain charitable solicitation registrations as needed</w:t>
      </w:r>
    </w:p>
    <w:p>
      <w:pPr>
        <w:pStyle w:val="Heading2"/>
        <w:spacing w:after="120"/>
      </w:pPr>
      <w:r>
        <w:rPr>
          <w:rFonts w:ascii="Arial" w:cs="Arial" w:eastAsia="Arial" w:hAnsi="Arial"/>
          <w:color w:val="5D6D7E"/>
          <w:sz w:val="22"/>
          <w:szCs w:val="22"/>
        </w:rPr>
        <w:t xml:space="preserve">Timeline</w:t>
      </w:r>
    </w:p>
    <w:p>
      <w:pPr>
        <w:spacing w:after="120"/>
      </w:pPr>
      <w:r>
        <w:rPr>
          <w:rFonts w:ascii="Arial" w:cs="Arial" w:eastAsia="Arial" w:hAnsi="Arial"/>
          <w:color w:val="5D6D7E"/>
          <w:sz w:val="22"/>
          <w:szCs w:val="22"/>
        </w:rPr>
        <w:t xml:space="preserve">State incorporation: 1–2 weeks. EIN: Immediate. 501(c)(3) determination: 3–12 months (1023-EZ is faster, typically 1–3 months). Total estimated formation cost: $500–$1,500 including all filing fees.</w:t>
      </w:r>
    </w:p>
    <w:p>
      <w:pPr>
        <w:pStyle w:val="Heading1"/>
        <w:pageBreakBefore/>
        <w:spacing w:after="120"/>
      </w:pPr>
      <w:r>
        <w:rPr>
          <w:rFonts w:ascii="Arial" w:cs="Arial" w:eastAsia="Arial" w:hAnsi="Arial"/>
          <w:color w:val="5D6D7E"/>
          <w:sz w:val="22"/>
          <w:szCs w:val="22"/>
        </w:rPr>
        <w:t xml:space="preserve">12. Impact Metrics &amp; Goals</w:t>
      </w:r>
    </w:p>
    <w:p>
      <w:pPr>
        <w:pStyle w:val="Heading2"/>
        <w:spacing w:after="120"/>
      </w:pPr>
      <w:r>
        <w:rPr>
          <w:rFonts w:ascii="Arial" w:cs="Arial" w:eastAsia="Arial" w:hAnsi="Arial"/>
          <w:color w:val="5D6D7E"/>
          <w:sz w:val="22"/>
          <w:szCs w:val="22"/>
        </w:rPr>
        <w:t xml:space="preserve">Year 1 Targets</w:t>
      </w:r>
    </w:p>
    <w:p>
      <w:pPr>
        <w:pStyle w:val="ListParagraph"/>
        <w:numPr>
          <w:ilvl w:val="0"/>
          <w:numId w:val="2"/>
        </w:numPr>
        <w:spacing w:after="120"/>
      </w:pPr>
      <w:r>
        <w:rPr>
          <w:rFonts w:ascii="Arial" w:cs="Arial" w:eastAsia="Arial" w:hAnsi="Arial"/>
          <w:color w:val="5D6D7E"/>
          <w:sz w:val="22"/>
          <w:szCs w:val="22"/>
        </w:rPr>
        <w:t xml:space="preserve">Publish daily research digests across 3+ mental health topic areas</w:t>
      </w:r>
    </w:p>
    <w:p>
      <w:pPr>
        <w:pStyle w:val="ListParagraph"/>
        <w:numPr>
          <w:ilvl w:val="0"/>
          <w:numId w:val="2"/>
        </w:numPr>
        <w:spacing w:after="120"/>
      </w:pPr>
      <w:r>
        <w:rPr>
          <w:rFonts w:ascii="Arial" w:cs="Arial" w:eastAsia="Arial" w:hAnsi="Arial"/>
          <w:color w:val="5D6D7E"/>
          <w:sz w:val="22"/>
          <w:szCs w:val="22"/>
        </w:rPr>
        <w:t xml:space="preserve">Analyze 5,000+ research papers through the AI pipeline</w:t>
      </w:r>
    </w:p>
    <w:p>
      <w:pPr>
        <w:pStyle w:val="ListParagraph"/>
        <w:numPr>
          <w:ilvl w:val="0"/>
          <w:numId w:val="2"/>
        </w:numPr>
        <w:spacing w:after="120"/>
      </w:pPr>
      <w:r>
        <w:rPr>
          <w:rFonts w:ascii="Arial" w:cs="Arial" w:eastAsia="Arial" w:hAnsi="Arial"/>
          <w:color w:val="5D6D7E"/>
          <w:sz w:val="22"/>
          <w:szCs w:val="22"/>
        </w:rPr>
        <w:t xml:space="preserve">Generate 2,000+ curated findings in the knowledge base</w:t>
      </w:r>
    </w:p>
    <w:p>
      <w:pPr>
        <w:pStyle w:val="ListParagraph"/>
        <w:numPr>
          <w:ilvl w:val="0"/>
          <w:numId w:val="2"/>
        </w:numPr>
        <w:spacing w:after="120"/>
      </w:pPr>
      <w:r>
        <w:rPr>
          <w:rFonts w:ascii="Arial" w:cs="Arial" w:eastAsia="Arial" w:hAnsi="Arial"/>
          <w:color w:val="5D6D7E"/>
          <w:sz w:val="22"/>
          <w:szCs w:val="22"/>
        </w:rPr>
        <w:t xml:space="preserve">Make AI support chatbot available 24/7 on faithmarie.org</w:t>
      </w:r>
    </w:p>
    <w:p>
      <w:pPr>
        <w:pStyle w:val="ListParagraph"/>
        <w:numPr>
          <w:ilvl w:val="0"/>
          <w:numId w:val="2"/>
        </w:numPr>
        <w:spacing w:after="120"/>
      </w:pPr>
      <w:r>
        <w:rPr>
          <w:rFonts w:ascii="Arial" w:cs="Arial" w:eastAsia="Arial" w:hAnsi="Arial"/>
          <w:color w:val="5D6D7E"/>
          <w:sz w:val="22"/>
          <w:szCs w:val="22"/>
        </w:rPr>
        <w:t xml:space="preserve">Connect 1,000+ people with local mental health resources through the resource finder</w:t>
      </w:r>
    </w:p>
    <w:p>
      <w:pPr>
        <w:pStyle w:val="ListParagraph"/>
        <w:numPr>
          <w:ilvl w:val="0"/>
          <w:numId w:val="2"/>
        </w:numPr>
        <w:spacing w:after="120"/>
      </w:pPr>
      <w:r>
        <w:rPr>
          <w:rFonts w:ascii="Arial" w:cs="Arial" w:eastAsia="Arial" w:hAnsi="Arial"/>
          <w:color w:val="5D6D7E"/>
          <w:sz w:val="22"/>
          <w:szCs w:val="22"/>
        </w:rPr>
        <w:t xml:space="preserve">Grow email newsletter to 2,500+ subscribers</w:t>
      </w:r>
    </w:p>
    <w:p>
      <w:pPr>
        <w:pStyle w:val="ListParagraph"/>
        <w:numPr>
          <w:ilvl w:val="0"/>
          <w:numId w:val="2"/>
        </w:numPr>
        <w:spacing w:after="120"/>
      </w:pPr>
      <w:r>
        <w:rPr>
          <w:rFonts w:ascii="Arial" w:cs="Arial" w:eastAsia="Arial" w:hAnsi="Arial"/>
          <w:color w:val="5D6D7E"/>
          <w:sz w:val="22"/>
          <w:szCs w:val="22"/>
        </w:rPr>
        <w:t xml:space="preserve">Establish social media presence reaching 10,000+ monthly impressions</w:t>
      </w:r>
    </w:p>
    <w:p>
      <w:pPr>
        <w:pStyle w:val="Heading2"/>
        <w:spacing w:after="120"/>
      </w:pPr>
      <w:r>
        <w:rPr>
          <w:rFonts w:ascii="Arial" w:cs="Arial" w:eastAsia="Arial" w:hAnsi="Arial"/>
          <w:color w:val="5D6D7E"/>
          <w:sz w:val="22"/>
          <w:szCs w:val="22"/>
        </w:rPr>
        <w:t xml:space="preserve">Year 3 Targets</w:t>
      </w:r>
    </w:p>
    <w:p>
      <w:pPr>
        <w:pStyle w:val="ListParagraph"/>
        <w:numPr>
          <w:ilvl w:val="0"/>
          <w:numId w:val="2"/>
        </w:numPr>
        <w:spacing w:after="120"/>
      </w:pPr>
      <w:r>
        <w:rPr>
          <w:rFonts w:ascii="Arial" w:cs="Arial" w:eastAsia="Arial" w:hAnsi="Arial"/>
          <w:color w:val="5D6D7E"/>
          <w:sz w:val="22"/>
          <w:szCs w:val="22"/>
        </w:rPr>
        <w:t xml:space="preserve">Analyze 30,000+ papers across all four topic areas</w:t>
      </w:r>
    </w:p>
    <w:p>
      <w:pPr>
        <w:pStyle w:val="ListParagraph"/>
        <w:numPr>
          <w:ilvl w:val="0"/>
          <w:numId w:val="2"/>
        </w:numPr>
        <w:spacing w:after="120"/>
      </w:pPr>
      <w:r>
        <w:rPr>
          <w:rFonts w:ascii="Arial" w:cs="Arial" w:eastAsia="Arial" w:hAnsi="Arial"/>
          <w:color w:val="5D6D7E"/>
          <w:sz w:val="22"/>
          <w:szCs w:val="22"/>
        </w:rPr>
        <w:t xml:space="preserve">Knowledge base reaches 15,000+ curated, cross-referenced findings</w:t>
      </w:r>
    </w:p>
    <w:p>
      <w:pPr>
        <w:pStyle w:val="ListParagraph"/>
        <w:numPr>
          <w:ilvl w:val="0"/>
          <w:numId w:val="2"/>
        </w:numPr>
        <w:spacing w:after="120"/>
      </w:pPr>
      <w:r>
        <w:rPr>
          <w:rFonts w:ascii="Arial" w:cs="Arial" w:eastAsia="Arial" w:hAnsi="Arial"/>
          <w:color w:val="5D6D7E"/>
          <w:sz w:val="22"/>
          <w:szCs w:val="22"/>
        </w:rPr>
        <w:t xml:space="preserve">Publish 4 AI-assisted papers in peer-reviewed journals</w:t>
      </w:r>
    </w:p>
    <w:p>
      <w:pPr>
        <w:pStyle w:val="ListParagraph"/>
        <w:numPr>
          <w:ilvl w:val="0"/>
          <w:numId w:val="2"/>
        </w:numPr>
        <w:spacing w:after="120"/>
      </w:pPr>
      <w:r>
        <w:rPr>
          <w:rFonts w:ascii="Arial" w:cs="Arial" w:eastAsia="Arial" w:hAnsi="Arial"/>
          <w:color w:val="5D6D7E"/>
          <w:sz w:val="22"/>
          <w:szCs w:val="22"/>
        </w:rPr>
        <w:t xml:space="preserve">Newsletter reaches 10,000+ subscribers with 40%+ open rate</w:t>
      </w:r>
    </w:p>
    <w:p>
      <w:pPr>
        <w:pStyle w:val="ListParagraph"/>
        <w:numPr>
          <w:ilvl w:val="0"/>
          <w:numId w:val="2"/>
        </w:numPr>
        <w:spacing w:after="120"/>
      </w:pPr>
      <w:r>
        <w:rPr>
          <w:rFonts w:ascii="Arial" w:cs="Arial" w:eastAsia="Arial" w:hAnsi="Arial"/>
          <w:color w:val="5D6D7E"/>
          <w:sz w:val="22"/>
          <w:szCs w:val="22"/>
        </w:rPr>
        <w:t xml:space="preserve">Mood tracker app in pilot testing</w:t>
      </w:r>
    </w:p>
    <w:p>
      <w:pPr>
        <w:pStyle w:val="Heading2"/>
        <w:spacing w:after="120"/>
      </w:pPr>
      <w:r>
        <w:rPr>
          <w:rFonts w:ascii="Arial" w:cs="Arial" w:eastAsia="Arial" w:hAnsi="Arial"/>
          <w:color w:val="5D6D7E"/>
          <w:sz w:val="22"/>
          <w:szCs w:val="22"/>
        </w:rPr>
        <w:t xml:space="preserve">Year 5 Targets</w:t>
      </w:r>
    </w:p>
    <w:p>
      <w:pPr>
        <w:pStyle w:val="ListParagraph"/>
        <w:numPr>
          <w:ilvl w:val="0"/>
          <w:numId w:val="2"/>
        </w:numPr>
        <w:spacing w:after="120"/>
      </w:pPr>
      <w:r>
        <w:rPr>
          <w:rFonts w:ascii="Arial" w:cs="Arial" w:eastAsia="Arial" w:hAnsi="Arial"/>
          <w:color w:val="5D6D7E"/>
          <w:sz w:val="22"/>
          <w:szCs w:val="22"/>
        </w:rPr>
        <w:t xml:space="preserve">Knowledge base reaches 100,000+ findings with confidence scoring</w:t>
      </w:r>
    </w:p>
    <w:p>
      <w:pPr>
        <w:pStyle w:val="ListParagraph"/>
        <w:numPr>
          <w:ilvl w:val="0"/>
          <w:numId w:val="2"/>
        </w:numPr>
        <w:spacing w:after="120"/>
      </w:pPr>
      <w:r>
        <w:rPr>
          <w:rFonts w:ascii="Arial" w:cs="Arial" w:eastAsia="Arial" w:hAnsi="Arial"/>
          <w:color w:val="5D6D7E"/>
          <w:sz w:val="22"/>
          <w:szCs w:val="22"/>
        </w:rPr>
        <w:t xml:space="preserve">Clinical evidence dashboard serving 500+ practitioners</w:t>
      </w:r>
    </w:p>
    <w:p>
      <w:pPr>
        <w:pStyle w:val="ListParagraph"/>
        <w:numPr>
          <w:ilvl w:val="0"/>
          <w:numId w:val="2"/>
        </w:numPr>
        <w:spacing w:after="120"/>
      </w:pPr>
      <w:r>
        <w:rPr>
          <w:rFonts w:ascii="Arial" w:cs="Arial" w:eastAsia="Arial" w:hAnsi="Arial"/>
          <w:color w:val="5D6D7E"/>
          <w:sz w:val="22"/>
          <w:szCs w:val="22"/>
        </w:rPr>
        <w:t xml:space="preserve">Revenue exceeds $700K annually with diversified streams</w:t>
      </w:r>
    </w:p>
    <w:p>
      <w:pPr>
        <w:pStyle w:val="ListParagraph"/>
        <w:numPr>
          <w:ilvl w:val="0"/>
          <w:numId w:val="2"/>
        </w:numPr>
        <w:spacing w:after="120"/>
      </w:pPr>
      <w:r>
        <w:rPr>
          <w:rFonts w:ascii="Arial" w:cs="Arial" w:eastAsia="Arial" w:hAnsi="Arial"/>
          <w:color w:val="5D6D7E"/>
          <w:sz w:val="22"/>
          <w:szCs w:val="22"/>
        </w:rPr>
        <w:t xml:space="preserve">Research cited in 10+ external peer-reviewed publications</w:t>
      </w:r>
    </w:p>
    <w:p>
      <w:pPr>
        <w:pStyle w:val="Heading1"/>
        <w:pageBreakBefore/>
        <w:spacing w:after="120"/>
      </w:pPr>
      <w:r>
        <w:rPr>
          <w:rFonts w:ascii="Arial" w:cs="Arial" w:eastAsia="Arial" w:hAnsi="Arial"/>
          <w:color w:val="5D6D7E"/>
          <w:sz w:val="22"/>
          <w:szCs w:val="22"/>
        </w:rPr>
        <w:t xml:space="preserve">13. Risk Factors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34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34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AI inaccuracy / hallucination</w:t>
            </w:r>
          </w:p>
        </w:tc>
        <w:tc>
          <w:tcPr>
            <w:tcW w:type="dxa" w:w="348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Erroneous research conclusions damage credibility</w:t>
            </w:r>
          </w:p>
        </w:tc>
        <w:tc>
          <w:tcPr>
            <w:tcW w:type="dxa" w:w="348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Multi-layer QC, human review of all publications, confidence scoring, source citations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D6D7E"/>
                <w:sz w:val="20"/>
                <w:szCs w:val="20"/>
              </w:rPr>
              <w:t xml:space="preserve">Chatbot crisis handling</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D6D7E"/>
                <w:sz w:val="20"/>
                <w:szCs w:val="20"/>
              </w:rPr>
              <w:t xml:space="preserve">User in danger does not receive appropriate help</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D6D7E"/>
                <w:sz w:val="20"/>
                <w:szCs w:val="20"/>
              </w:rPr>
              <w:t xml:space="preserve">Immediate crisis detection and routing to 988 Lifeline, clear disclaimers, safety-first design</w:t>
            </w:r>
          </w:p>
        </w:tc>
      </w:tr>
      <w:tr>
        <w:tc>
          <w:tcPr>
            <w:tcW w:type="dxa" w:w="240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Funding shortfall</w:t>
            </w:r>
          </w:p>
        </w:tc>
        <w:tc>
          <w:tcPr>
            <w:tcW w:type="dxa" w:w="348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Inability to sustain operations</w:t>
            </w:r>
          </w:p>
        </w:tc>
        <w:tc>
          <w:tcPr>
            <w:tcW w:type="dxa" w:w="348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Diversified revenue, lean operations, 6-month reserve fund target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D6D7E"/>
                <w:sz w:val="20"/>
                <w:szCs w:val="20"/>
              </w:rPr>
              <w:t xml:space="preserve">Data access restrictions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D6D7E"/>
                <w:sz w:val="20"/>
                <w:szCs w:val="20"/>
              </w:rPr>
              <w:t xml:space="preserve">Limited research scope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D6D7E"/>
                <w:sz w:val="20"/>
                <w:szCs w:val="20"/>
              </w:rPr>
              <w:t xml:space="preserve">Focus on open-access data, build institutional partnerships early</w:t>
            </w:r>
          </w:p>
        </w:tc>
      </w:tr>
      <w:tr>
        <w:tc>
          <w:tcPr>
            <w:tcW w:type="dxa" w:w="240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Technology obsolescence</w:t>
            </w:r>
          </w:p>
        </w:tc>
        <w:tc>
          <w:tcPr>
            <w:tcW w:type="dxa" w:w="348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Platform becomes outdated</w:t>
            </w:r>
          </w:p>
        </w:tc>
        <w:tc>
          <w:tcPr>
            <w:tcW w:type="dxa" w:w="3480"/>
            <w:tcBorders>
              <w:top w:val="single" w:color="CCCCCC" w:sz="1"/>
              <w:left w:val="single" w:color="CCCCCC" w:sz="1"/>
              <w:bottom w:val="single" w:color="CCCCCC" w:sz="1"/>
              <w:right w:val="single" w:color="CCCCCC" w:sz="1"/>
            </w:tcBorders>
            <w:shd w:fill="D6EEF5" w:val="clear"/>
            <w:tcMar>
              <w:top w:type="dxa" w:w="60"/>
              <w:left w:type="dxa" w:w="100"/>
              <w:bottom w:type="dxa" w:w="60"/>
              <w:right w:type="dxa" w:w="100"/>
            </w:tcMar>
          </w:tcPr>
          <w:p>
            <w:r>
              <w:rPr>
                <w:rFonts w:ascii="Arial" w:cs="Arial" w:eastAsia="Arial" w:hAnsi="Arial"/>
                <w:color w:val="5D6D7E"/>
                <w:sz w:val="20"/>
                <w:szCs w:val="20"/>
              </w:rPr>
              <w:t xml:space="preserve">Modular, model-agnostic architecture; continuous evaluation of new tools</w:t>
            </w:r>
          </w:p>
        </w:tc>
      </w:tr>
    </w:tbl>
    <w:p>
      <w:pPr>
        <w:pStyle w:val="Heading1"/>
        <w:pageBreakBefore/>
        <w:spacing w:after="120"/>
      </w:pPr>
      <w:r>
        <w:rPr>
          <w:rFonts w:ascii="Arial" w:cs="Arial" w:eastAsia="Arial" w:hAnsi="Arial"/>
          <w:color w:val="5D6D7E"/>
          <w:sz w:val="22"/>
          <w:szCs w:val="22"/>
        </w:rPr>
        <w:t xml:space="preserve">14. Conclusion</w:t>
      </w:r>
    </w:p>
    <w:p>
      <w:pPr>
        <w:spacing w:after="120"/>
      </w:pPr>
      <w:r>
        <w:rPr>
          <w:rFonts w:ascii="Arial" w:cs="Arial" w:eastAsia="Arial" w:hAnsi="Arial"/>
          <w:color w:val="5D6D7E"/>
          <w:sz w:val="22"/>
          <w:szCs w:val="22"/>
        </w:rPr>
        <w:t xml:space="preserve">The Faith Marie Foundation represents something rare: a nonprofit born from deeply personal loss, powered by cutting-edge technology, and dedicated to ensuring that no one navigates mental health challenges without accessible, current, science-backed support.</w:t>
      </w:r>
    </w:p>
    <w:p>
      <w:pPr>
        <w:spacing w:after="120"/>
      </w:pPr>
      <w:r>
        <w:rPr>
          <w:rFonts w:ascii="Arial" w:cs="Arial" w:eastAsia="Arial" w:hAnsi="Arial"/>
          <w:color w:val="5D6D7E"/>
          <w:sz w:val="22"/>
          <w:szCs w:val="22"/>
        </w:rPr>
        <w:t xml:space="preserve">By combining autonomous AI research with direct support tools — all delivered through faithmarie.org — the Foundation can make a meaningful difference in the lives of people struggling with grief, trauma, PTSD, depression, and anxiety. The ten-year roadmap is ambitious but achievable, built on lean operations, proven AI technology, and a mission that resonates.</w:t>
      </w:r>
    </w:p>
    <w:p>
      <w:pPr>
        <w:spacing w:after="120"/>
      </w:pPr>
      <w:r>
        <w:rPr>
          <w:rFonts w:ascii="Arial" w:cs="Arial" w:eastAsia="Arial" w:hAnsi="Arial"/>
          <w:color w:val="5D6D7E"/>
          <w:sz w:val="22"/>
          <w:szCs w:val="22"/>
        </w:rPr>
        <w:t xml:space="preserve">Faith Marie lived for twenty-one days. The Foundation built in her name will serve people for generations.</w:t>
      </w:r>
    </w:p>
    <w:p>
      <w:pPr>
        <w:spacing w:before="400"/>
      </w:pPr>
    </w:p>
    <w:p>
      <w:pPr>
        <w:spacing w:after="120"/>
        <w:jc w:val="center"/>
      </w:pPr>
      <w:r>
        <w:rPr>
          <w:rFonts w:ascii="Arial" w:cs="Arial" w:eastAsia="Arial" w:hAnsi="Arial"/>
          <w:i/>
          <w:iCs/>
          <w:color w:val="1B4F72"/>
          <w:sz w:val="24"/>
          <w:szCs w:val="24"/>
        </w:rPr>
        <w:t xml:space="preserve">“In Faith Marie’s name, we build the tools and knowledge that help people find their way through darkness.”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  faithmarie.org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pPr>
    <w:r>
      <w:rPr>
        <w:rFonts w:ascii="Arial" w:cs="Arial" w:eastAsia="Arial" w:hAnsi="Arial"/>
        <w:i/>
        <w:iCs/>
        <w:color w:val="1B4F72"/>
        <w:sz w:val="18"/>
        <w:szCs w:val="18"/>
      </w:rPr>
      <w:t xml:space="preserve">Faith Marie Foundation — Business Plan 2026–2036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2026-04-01T19:59:35.211Z</dcterms:created>
  <dcterms:modified xsi:type="dcterms:W3CDTF">2026-04-01T19:59:35.211Z</dcterms:modified>
</cp:coreProperties>
</file>

<file path=docProps/custom.xml><?xml version="1.0" encoding="utf-8"?>
<Properties xmlns="http://schemas.openxmlformats.org/officeDocument/2006/custom-properties" xmlns:vt="http://schemas.openxmlformats.org/officeDocument/2006/docPropsVTypes"/>
</file>