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B4F72"/>
          <w:sz w:val="36"/>
          <w:szCs w:val="36"/>
        </w:rPr>
        <w:t xml:space="preserve">Teaching &amp; Learning Styles in ESL Instruction</w:t>
      </w:r>
    </w:p>
    <w:p>
      <w:pPr>
        <w:spacing w:after="60"/>
        <w:jc w:val="center"/>
      </w:pPr>
      <w:r>
        <w:rPr>
          <w:rFonts w:ascii="Calibri" w:cs="Calibri" w:eastAsia="Calibri" w:hAnsi="Calibri"/>
          <w:color w:val="2E86C1"/>
          <w:sz w:val="26"/>
          <w:szCs w:val="26"/>
        </w:rPr>
        <w:t xml:space="preserve">Research Summary &amp; Reference Guide</w:t>
      </w:r>
    </w:p>
    <w:p>
      <w:pPr>
        <w:spacing w:after="300"/>
        <w:jc w:val="center"/>
      </w:pPr>
      <w:r>
        <w:rPr>
          <w:rFonts w:ascii="Calibri" w:cs="Calibri" w:eastAsia="Calibri" w:hAnsi="Calibri"/>
          <w:color w:val="7F8C8D"/>
          <w:sz w:val="20"/>
          <w:szCs w:val="20"/>
        </w:rPr>
        <w:t xml:space="preserve">Compiled July 28, 2026</w:t>
      </w:r>
    </w:p>
    <w:p>
      <w:pPr>
        <w:pStyle w:val="Heading1"/>
        <w:spacing w:after="200" w:before="400"/>
      </w:pPr>
      <w:r>
        <w:rPr>
          <w:rFonts w:ascii="Calibri" w:cs="Calibri" w:eastAsia="Calibri" w:hAnsi="Calibri"/>
          <w:b/>
          <w:bCs/>
          <w:color w:val="1B4F72"/>
          <w:sz w:val="28"/>
          <w:szCs w:val="28"/>
        </w:rPr>
        <w:t xml:space="preserve">1. Major Learning Style Theories</w:t>
      </w:r>
    </w:p>
    <w:p>
      <w:pPr>
        <w:pStyle w:val="Heading2"/>
        <w:spacing w:after="150" w:before="300"/>
      </w:pPr>
      <w:r>
        <w:rPr>
          <w:rFonts w:ascii="Calibri" w:cs="Calibri" w:eastAsia="Calibri" w:hAnsi="Calibri"/>
          <w:b/>
          <w:bCs/>
          <w:color w:val="2E86C1"/>
          <w:sz w:val="24"/>
          <w:szCs w:val="24"/>
        </w:rPr>
        <w:t xml:space="preserve">1.1 VARK Model (Fleming)</w:t>
      </w:r>
    </w:p>
    <w:p>
      <w:pPr>
        <w:spacing w:after="120"/>
      </w:pPr>
      <w:r>
        <w:rPr>
          <w:rFonts w:ascii="Calibri" w:cs="Calibri" w:eastAsia="Calibri" w:hAnsi="Calibri"/>
          <w:sz w:val="21"/>
          <w:szCs w:val="21"/>
        </w:rPr>
        <w:t xml:space="preserve">Categorizes learners by sensory preference: Visual, Auditory, Read/Write, and Kinesthetic. Widely used in ESL research, including Reid's foundational 1987 study of 1,388 ESL students. Over 70 different learning style inventories exist, but VARK remains the most commonly referenced in language education.</w:t>
      </w:r>
    </w:p>
    <w:p>
      <w:pPr>
        <w:pStyle w:val="Heading2"/>
        <w:spacing w:after="150" w:before="300"/>
      </w:pPr>
      <w:r>
        <w:rPr>
          <w:rFonts w:ascii="Calibri" w:cs="Calibri" w:eastAsia="Calibri" w:hAnsi="Calibri"/>
          <w:b/>
          <w:bCs/>
          <w:color w:val="2E86C1"/>
          <w:sz w:val="24"/>
          <w:szCs w:val="24"/>
        </w:rPr>
        <w:t xml:space="preserve">1.2 Kolb's Experiential Learning Theory</w:t>
      </w:r>
    </w:p>
    <w:p>
      <w:pPr>
        <w:spacing w:after="120"/>
      </w:pPr>
      <w:r>
        <w:rPr>
          <w:rFonts w:ascii="Calibri" w:cs="Calibri" w:eastAsia="Calibri" w:hAnsi="Calibri"/>
          <w:sz w:val="21"/>
          <w:szCs w:val="21"/>
        </w:rPr>
        <w:t xml:space="preserve">Frames learning as a cycle of four stages: concrete experience, reflective observation, abstract conceptualization, and active experimentation. Produces four learner types:</w:t>
      </w:r>
    </w:p>
    <w:p>
      <w:pPr>
        <w:pStyle w:val="ListParagraph"/>
        <w:numPr>
          <w:ilvl w:val="0"/>
          <w:numId w:val="2"/>
        </w:numPr>
        <w:spacing w:after="80"/>
      </w:pPr>
      <w:r>
        <w:rPr>
          <w:rFonts w:ascii="Calibri" w:cs="Calibri" w:eastAsia="Calibri" w:hAnsi="Calibri"/>
          <w:sz w:val="21"/>
          <w:szCs w:val="21"/>
        </w:rPr>
        <w:t xml:space="preserve">Diverging — observe and gather information from multiple perspectives</w:t>
      </w:r>
    </w:p>
    <w:p>
      <w:pPr>
        <w:pStyle w:val="ListParagraph"/>
        <w:numPr>
          <w:ilvl w:val="0"/>
          <w:numId w:val="2"/>
        </w:numPr>
        <w:spacing w:after="80"/>
      </w:pPr>
      <w:r>
        <w:rPr>
          <w:rFonts w:ascii="Calibri" w:cs="Calibri" w:eastAsia="Calibri" w:hAnsi="Calibri"/>
          <w:sz w:val="21"/>
          <w:szCs w:val="21"/>
        </w:rPr>
        <w:t xml:space="preserve">Assimilating — favor logical analysis and theoretical models</w:t>
      </w:r>
    </w:p>
    <w:p>
      <w:pPr>
        <w:pStyle w:val="ListParagraph"/>
        <w:numPr>
          <w:ilvl w:val="0"/>
          <w:numId w:val="2"/>
        </w:numPr>
        <w:spacing w:after="80"/>
      </w:pPr>
      <w:r>
        <w:rPr>
          <w:rFonts w:ascii="Calibri" w:cs="Calibri" w:eastAsia="Calibri" w:hAnsi="Calibri"/>
          <w:sz w:val="21"/>
          <w:szCs w:val="21"/>
        </w:rPr>
        <w:t xml:space="preserve">Converging — excel in applying ideas to practical problems</w:t>
      </w:r>
    </w:p>
    <w:p>
      <w:pPr>
        <w:pStyle w:val="ListParagraph"/>
        <w:numPr>
          <w:ilvl w:val="0"/>
          <w:numId w:val="2"/>
        </w:numPr>
        <w:spacing w:after="80"/>
      </w:pPr>
      <w:r>
        <w:rPr>
          <w:rFonts w:ascii="Calibri" w:cs="Calibri" w:eastAsia="Calibri" w:hAnsi="Calibri"/>
          <w:sz w:val="21"/>
          <w:szCs w:val="21"/>
        </w:rPr>
        <w:t xml:space="preserve">Accommodating — rely on hands-on experience and adaptability</w:t>
      </w:r>
    </w:p>
    <w:p>
      <w:pPr>
        <w:pStyle w:val="Heading2"/>
        <w:spacing w:after="150" w:before="300"/>
      </w:pPr>
      <w:r>
        <w:rPr>
          <w:rFonts w:ascii="Calibri" w:cs="Calibri" w:eastAsia="Calibri" w:hAnsi="Calibri"/>
          <w:b/>
          <w:bCs/>
          <w:color w:val="2E86C1"/>
          <w:sz w:val="24"/>
          <w:szCs w:val="24"/>
        </w:rPr>
        <w:t xml:space="preserve">1.3 Gardner's Multiple Intelligences</w:t>
      </w:r>
    </w:p>
    <w:p>
      <w:pPr>
        <w:spacing w:after="120"/>
      </w:pPr>
      <w:r>
        <w:rPr>
          <w:rFonts w:ascii="Calibri" w:cs="Calibri" w:eastAsia="Calibri" w:hAnsi="Calibri"/>
          <w:sz w:val="21"/>
          <w:szCs w:val="21"/>
        </w:rPr>
        <w:t xml:space="preserve">Identifies eight distinct intelligences: linguistic, logical-mathematical, spatial, musical, bodily-kinesthetic, interpersonal, intrapersonal, and naturalistic. Challenged the notion of a single overarching intelligence and significantly influenced differentiated instruction practices.</w:t>
      </w:r>
    </w:p>
    <w:p>
      <w:pPr>
        <w:pStyle w:val="Heading2"/>
        <w:spacing w:after="150" w:before="300"/>
      </w:pPr>
      <w:r>
        <w:rPr>
          <w:rFonts w:ascii="Calibri" w:cs="Calibri" w:eastAsia="Calibri" w:hAnsi="Calibri"/>
          <w:b/>
          <w:bCs/>
          <w:color w:val="2E86C1"/>
          <w:sz w:val="24"/>
          <w:szCs w:val="24"/>
        </w:rPr>
        <w:t xml:space="preserve">1.4 Other Models</w:t>
      </w:r>
    </w:p>
    <w:p>
      <w:pPr>
        <w:pStyle w:val="ListParagraph"/>
        <w:numPr>
          <w:ilvl w:val="0"/>
          <w:numId w:val="2"/>
        </w:numPr>
        <w:spacing w:after="80"/>
      </w:pPr>
      <w:r>
        <w:rPr>
          <w:rFonts w:ascii="Calibri" w:cs="Calibri" w:eastAsia="Calibri" w:hAnsi="Calibri"/>
          <w:sz w:val="21"/>
          <w:szCs w:val="21"/>
        </w:rPr>
        <w:t xml:space="preserve">Honey &amp; Mumford — Adapts Kolb into Activist, Reflector, Theorist, and Pragmatist styles</w:t>
      </w:r>
    </w:p>
    <w:p>
      <w:pPr>
        <w:pStyle w:val="ListParagraph"/>
        <w:numPr>
          <w:ilvl w:val="0"/>
          <w:numId w:val="2"/>
        </w:numPr>
        <w:spacing w:after="80"/>
      </w:pPr>
      <w:r>
        <w:rPr>
          <w:rFonts w:ascii="Calibri" w:cs="Calibri" w:eastAsia="Calibri" w:hAnsi="Calibri"/>
          <w:sz w:val="21"/>
          <w:szCs w:val="21"/>
        </w:rPr>
        <w:t xml:space="preserve">Felder-Silverman — Dimensions of active/reflective, sensing/intuitive, visual/verbal, sequential/global</w:t>
      </w:r>
    </w:p>
    <w:p>
      <w:pPr>
        <w:pStyle w:val="ListParagraph"/>
        <w:numPr>
          <w:ilvl w:val="0"/>
          <w:numId w:val="2"/>
        </w:numPr>
        <w:spacing w:after="80"/>
      </w:pPr>
      <w:r>
        <w:rPr>
          <w:rFonts w:ascii="Calibri" w:cs="Calibri" w:eastAsia="Calibri" w:hAnsi="Calibri"/>
          <w:sz w:val="21"/>
          <w:szCs w:val="21"/>
        </w:rPr>
        <w:t xml:space="preserve">Dunn &amp; Dunn — Environmental, emotional, sociological, physical, and psychological elements</w:t>
      </w:r>
    </w:p>
    <w:p>
      <w:pPr>
        <w:pStyle w:val="Heading1"/>
        <w:spacing w:after="200" w:before="400"/>
      </w:pPr>
      <w:r>
        <w:rPr>
          <w:rFonts w:ascii="Calibri" w:cs="Calibri" w:eastAsia="Calibri" w:hAnsi="Calibri"/>
          <w:b/>
          <w:bCs/>
          <w:color w:val="1B4F72"/>
          <w:sz w:val="28"/>
          <w:szCs w:val="28"/>
        </w:rPr>
        <w:t xml:space="preserve">2. Teaching Style Frameworks</w:t>
      </w:r>
    </w:p>
    <w:p>
      <w:pPr>
        <w:pStyle w:val="Heading2"/>
        <w:spacing w:after="150" w:before="300"/>
      </w:pPr>
      <w:r>
        <w:rPr>
          <w:rFonts w:ascii="Calibri" w:cs="Calibri" w:eastAsia="Calibri" w:hAnsi="Calibri"/>
          <w:b/>
          <w:bCs/>
          <w:color w:val="2E86C1"/>
          <w:sz w:val="24"/>
          <w:szCs w:val="24"/>
        </w:rPr>
        <w:t xml:space="preserve">2.1 Grasha-Riechmann Teaching Styles</w:t>
      </w:r>
    </w:p>
    <w:p>
      <w:pPr>
        <w:spacing w:after="120"/>
      </w:pPr>
      <w:r>
        <w:rPr>
          <w:rFonts w:ascii="Calibri" w:cs="Calibri" w:eastAsia="Calibri" w:hAnsi="Calibri"/>
          <w:sz w:val="21"/>
          <w:szCs w:val="21"/>
        </w:rPr>
        <w:t xml:space="preserve">The most comprehensive model, identifying five teaching styles observed in college classrooms: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B4F72" w:val="clear"/>
          </w:tcPr>
          <w:p>
            <w:pPr>
              <w:spacing w:after="40" w:before="40"/>
            </w:pPr>
            <w:r>
              <w:rPr>
                <w:rFonts w:ascii="Calibri" w:cs="Calibri" w:eastAsia="Calibri" w:hAnsi="Calibri"/>
                <w:b/>
                <w:bCs/>
                <w:color w:val="FFFFFF"/>
                <w:sz w:val="20"/>
                <w:szCs w:val="20"/>
              </w:rPr>
              <w:t xml:space="preserve">Teaching Style</w:t>
            </w:r>
          </w:p>
        </w:tc>
        <w:tc>
          <w:tcPr>
            <w:tcW w:type="dxa" w:w="5800"/>
            <w:shd w:fill="1B4F72" w:val="clear"/>
          </w:tcPr>
          <w:p>
            <w:pPr>
              <w:spacing w:after="40" w:before="40"/>
            </w:pPr>
            <w:r>
              <w:rPr>
                <w:rFonts w:ascii="Calibri" w:cs="Calibri" w:eastAsia="Calibri" w:hAnsi="Calibri"/>
                <w:b/>
                <w:bCs/>
                <w:color w:val="FFFFFF"/>
                <w:sz w:val="20"/>
                <w:szCs w:val="20"/>
              </w:rPr>
              <w:t xml:space="preserve">Description</w:t>
            </w:r>
          </w:p>
        </w:tc>
      </w:tr>
      <w:tr>
        <w:tc>
          <w:tcPr>
            <w:tcW w:type="dxa" w:w="3200"/>
          </w:tcPr>
          <w:p>
            <w:pPr>
              <w:spacing w:after="40" w:before="40"/>
            </w:pPr>
            <w:r>
              <w:rPr>
                <w:rFonts w:ascii="Calibri" w:cs="Calibri" w:eastAsia="Calibri" w:hAnsi="Calibri"/>
                <w:b w:val="false"/>
                <w:bCs w:val="false"/>
                <w:color w:val="333333"/>
                <w:sz w:val="20"/>
                <w:szCs w:val="20"/>
              </w:rPr>
              <w:t xml:space="preserve">Expert</w:t>
            </w:r>
          </w:p>
        </w:tc>
        <w:tc>
          <w:tcPr>
            <w:tcW w:type="dxa" w:w="5800"/>
          </w:tcPr>
          <w:p>
            <w:pPr>
              <w:spacing w:after="40" w:before="40"/>
            </w:pPr>
            <w:r>
              <w:rPr>
                <w:rFonts w:ascii="Calibri" w:cs="Calibri" w:eastAsia="Calibri" w:hAnsi="Calibri"/>
                <w:b w:val="false"/>
                <w:bCs w:val="false"/>
                <w:color w:val="333333"/>
                <w:sz w:val="20"/>
                <w:szCs w:val="20"/>
              </w:rPr>
              <w:t xml:space="preserve">Knowledge-driven, emphasis on content delivery and correctness</w:t>
            </w:r>
          </w:p>
        </w:tc>
      </w:tr>
      <w:tr>
        <w:tc>
          <w:tcPr>
            <w:tcW w:type="dxa" w:w="3200"/>
          </w:tcPr>
          <w:p>
            <w:pPr>
              <w:spacing w:after="40" w:before="40"/>
            </w:pPr>
            <w:r>
              <w:rPr>
                <w:rFonts w:ascii="Calibri" w:cs="Calibri" w:eastAsia="Calibri" w:hAnsi="Calibri"/>
                <w:b w:val="false"/>
                <w:bCs w:val="false"/>
                <w:color w:val="333333"/>
                <w:sz w:val="20"/>
                <w:szCs w:val="20"/>
              </w:rPr>
              <w:t xml:space="preserve">Formal Authority</w:t>
            </w:r>
          </w:p>
        </w:tc>
        <w:tc>
          <w:tcPr>
            <w:tcW w:type="dxa" w:w="5800"/>
          </w:tcPr>
          <w:p>
            <w:pPr>
              <w:spacing w:after="40" w:before="40"/>
            </w:pPr>
            <w:r>
              <w:rPr>
                <w:rFonts w:ascii="Calibri" w:cs="Calibri" w:eastAsia="Calibri" w:hAnsi="Calibri"/>
                <w:b w:val="false"/>
                <w:bCs w:val="false"/>
                <w:color w:val="333333"/>
                <w:sz w:val="20"/>
                <w:szCs w:val="20"/>
              </w:rPr>
              <w:t xml:space="preserve">Rule-setter, uses position to create organized structure</w:t>
            </w:r>
          </w:p>
        </w:tc>
      </w:tr>
      <w:tr>
        <w:tc>
          <w:tcPr>
            <w:tcW w:type="dxa" w:w="3200"/>
          </w:tcPr>
          <w:p>
            <w:pPr>
              <w:spacing w:after="40" w:before="40"/>
            </w:pPr>
            <w:r>
              <w:rPr>
                <w:rFonts w:ascii="Calibri" w:cs="Calibri" w:eastAsia="Calibri" w:hAnsi="Calibri"/>
                <w:b w:val="false"/>
                <w:bCs w:val="false"/>
                <w:color w:val="333333"/>
                <w:sz w:val="20"/>
                <w:szCs w:val="20"/>
              </w:rPr>
              <w:t xml:space="preserve">Personal Model</w:t>
            </w:r>
          </w:p>
        </w:tc>
        <w:tc>
          <w:tcPr>
            <w:tcW w:type="dxa" w:w="5800"/>
          </w:tcPr>
          <w:p>
            <w:pPr>
              <w:spacing w:after="40" w:before="40"/>
            </w:pPr>
            <w:r>
              <w:rPr>
                <w:rFonts w:ascii="Calibri" w:cs="Calibri" w:eastAsia="Calibri" w:hAnsi="Calibri"/>
                <w:b w:val="false"/>
                <w:bCs w:val="false"/>
                <w:color w:val="333333"/>
                <w:sz w:val="20"/>
                <w:szCs w:val="20"/>
              </w:rPr>
              <w:t xml:space="preserve">Teaches by demonstration; students observe, then practice</w:t>
            </w:r>
          </w:p>
        </w:tc>
      </w:tr>
      <w:tr>
        <w:tc>
          <w:tcPr>
            <w:tcW w:type="dxa" w:w="3200"/>
          </w:tcPr>
          <w:p>
            <w:pPr>
              <w:spacing w:after="40" w:before="40"/>
            </w:pPr>
            <w:r>
              <w:rPr>
                <w:rFonts w:ascii="Calibri" w:cs="Calibri" w:eastAsia="Calibri" w:hAnsi="Calibri"/>
                <w:b w:val="false"/>
                <w:bCs w:val="false"/>
                <w:color w:val="333333"/>
                <w:sz w:val="20"/>
                <w:szCs w:val="20"/>
              </w:rPr>
              <w:t xml:space="preserve">Facilitator</w:t>
            </w:r>
          </w:p>
        </w:tc>
        <w:tc>
          <w:tcPr>
            <w:tcW w:type="dxa" w:w="5800"/>
          </w:tcPr>
          <w:p>
            <w:pPr>
              <w:spacing w:after="40" w:before="40"/>
            </w:pPr>
            <w:r>
              <w:rPr>
                <w:rFonts w:ascii="Calibri" w:cs="Calibri" w:eastAsia="Calibri" w:hAnsi="Calibri"/>
                <w:b w:val="false"/>
                <w:bCs w:val="false"/>
                <w:color w:val="333333"/>
                <w:sz w:val="20"/>
                <w:szCs w:val="20"/>
              </w:rPr>
              <w:t xml:space="preserve">Coach-like; guides through relationships and dialogue</w:t>
            </w:r>
          </w:p>
        </w:tc>
      </w:tr>
      <w:tr>
        <w:tc>
          <w:tcPr>
            <w:tcW w:type="dxa" w:w="3200"/>
          </w:tcPr>
          <w:p>
            <w:pPr>
              <w:spacing w:after="40" w:before="40"/>
            </w:pPr>
            <w:r>
              <w:rPr>
                <w:rFonts w:ascii="Calibri" w:cs="Calibri" w:eastAsia="Calibri" w:hAnsi="Calibri"/>
                <w:b w:val="false"/>
                <w:bCs w:val="false"/>
                <w:color w:val="333333"/>
                <w:sz w:val="20"/>
                <w:szCs w:val="20"/>
              </w:rPr>
              <w:t xml:space="preserve">Delegator</w:t>
            </w:r>
          </w:p>
        </w:tc>
        <w:tc>
          <w:tcPr>
            <w:tcW w:type="dxa" w:w="5800"/>
          </w:tcPr>
          <w:p>
            <w:pPr>
              <w:spacing w:after="40" w:before="40"/>
            </w:pPr>
            <w:r>
              <w:rPr>
                <w:rFonts w:ascii="Calibri" w:cs="Calibri" w:eastAsia="Calibri" w:hAnsi="Calibri"/>
                <w:b w:val="false"/>
                <w:bCs w:val="false"/>
                <w:color w:val="333333"/>
                <w:sz w:val="20"/>
                <w:szCs w:val="20"/>
              </w:rPr>
              <w:t xml:space="preserve">Gives autonomy; functions as resource/consultant</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Research found the Personal Model style is the most dominant among primary school teachers, while Expert and Delegator styles dominate in university settings. Other historical categorizations include didactic-direct vs. student-centered-indirect (Flanders, 1970) and Formal-Informal (Bennett, 1976).</w:t>
      </w:r>
    </w:p>
    <w:p>
      <w:pPr>
        <w:pStyle w:val="Heading1"/>
        <w:spacing w:after="200" w:before="400"/>
      </w:pPr>
      <w:r>
        <w:rPr>
          <w:rFonts w:ascii="Calibri" w:cs="Calibri" w:eastAsia="Calibri" w:hAnsi="Calibri"/>
          <w:b/>
          <w:bCs/>
          <w:color w:val="1B4F72"/>
          <w:sz w:val="28"/>
          <w:szCs w:val="28"/>
        </w:rPr>
        <w:t xml:space="preserve">3. The "Matching" Debate</w:t>
      </w:r>
    </w:p>
    <w:p>
      <w:pPr>
        <w:pStyle w:val="Heading2"/>
        <w:spacing w:after="150" w:before="300"/>
      </w:pPr>
      <w:r>
        <w:rPr>
          <w:rFonts w:ascii="Calibri" w:cs="Calibri" w:eastAsia="Calibri" w:hAnsi="Calibri"/>
          <w:b/>
          <w:bCs/>
          <w:color w:val="2E86C1"/>
          <w:sz w:val="24"/>
          <w:szCs w:val="24"/>
        </w:rPr>
        <w:t xml:space="preserve">3.1 The Meshing Hypothesis — Largely Debunked</w:t>
      </w:r>
    </w:p>
    <w:p>
      <w:pPr>
        <w:spacing w:after="120"/>
      </w:pPr>
      <w:r>
        <w:rPr>
          <w:rFonts w:ascii="Calibri" w:cs="Calibri" w:eastAsia="Calibri" w:hAnsi="Calibri"/>
          <w:sz w:val="21"/>
          <w:szCs w:val="21"/>
        </w:rPr>
        <w:t xml:space="preserve">The idea that students learn better when instruction matches their preferred style (the "meshing hypothesis") has been repeatedly tested and found lacking. Pashler et al. (2008) published a comprehensive review finding no evidence for the crossover interaction that would be required to validate matching. Multiple replication studies confirm: providing instruction based on students' learning style preferences does not improve learning outcomes.</w:t>
      </w:r>
    </w:p>
    <w:p>
      <w:pPr>
        <w:spacing w:after="120"/>
      </w:pPr>
      <w:r>
        <w:rPr>
          <w:rFonts w:ascii="Calibri" w:cs="Calibri" w:eastAsia="Calibri" w:hAnsi="Calibri"/>
          <w:sz w:val="21"/>
          <w:szCs w:val="21"/>
        </w:rPr>
        <w:t xml:space="preserve">Despite this, the belief persists among educators worldwide. Newton &amp; Salvi (2020) reviewed 37 studies across 18 countries and found 89% of teachers still believe students learn better when taught in their preferred style. In 29 US states, government-distributed teacher certification prep materials still include learning styles as valid pedagogy.</w:t>
      </w:r>
    </w:p>
    <w:p>
      <w:pPr>
        <w:pStyle w:val="Heading2"/>
        <w:spacing w:after="150" w:before="300"/>
      </w:pPr>
      <w:r>
        <w:rPr>
          <w:rFonts w:ascii="Calibri" w:cs="Calibri" w:eastAsia="Calibri" w:hAnsi="Calibri"/>
          <w:b/>
          <w:bCs/>
          <w:color w:val="2E86C1"/>
          <w:sz w:val="24"/>
          <w:szCs w:val="24"/>
        </w:rPr>
        <w:t xml:space="preserve">3.2 What Does Work</w:t>
      </w:r>
    </w:p>
    <w:p>
      <w:pPr>
        <w:spacing w:after="120"/>
      </w:pPr>
      <w:r>
        <w:rPr>
          <w:rFonts w:ascii="Calibri" w:cs="Calibri" w:eastAsia="Calibri" w:hAnsi="Calibri"/>
          <w:sz w:val="21"/>
          <w:szCs w:val="21"/>
        </w:rPr>
        <w:t xml:space="preserve">Research supports a different conclusion: multimodal instruction benefits all learners. Rather than matching style to student, the evidence favors matching method to content. Cognitive science-backed strategies like dual coding (Paivio), retrieval practice (Karpicke &amp; Roediger), and spaced repetition have strong empirical support regardless of learner preference. The goal should be balance — making sure each style preference is addressed to a reasonable extent during instruction.</w:t>
      </w:r>
    </w:p>
    <w:p>
      <w:pPr>
        <w:pStyle w:val="Heading1"/>
        <w:spacing w:after="200" w:before="400"/>
      </w:pPr>
      <w:r>
        <w:rPr>
          <w:rFonts w:ascii="Calibri" w:cs="Calibri" w:eastAsia="Calibri" w:hAnsi="Calibri"/>
          <w:b/>
          <w:bCs/>
          <w:color w:val="1B4F72"/>
          <w:sz w:val="28"/>
          <w:szCs w:val="28"/>
        </w:rPr>
        <w:t xml:space="preserve">4. Do Teachers Teach How They'd Want to Learn?</w:t>
      </w:r>
    </w:p>
    <w:p>
      <w:pPr>
        <w:spacing w:after="120"/>
      </w:pPr>
      <w:r>
        <w:rPr>
          <w:rFonts w:ascii="Calibri" w:cs="Calibri" w:eastAsia="Calibri" w:hAnsi="Calibri"/>
          <w:sz w:val="21"/>
          <w:szCs w:val="21"/>
        </w:rPr>
        <w:t xml:space="preserve">Research suggests yes — teachers have strong (often unconscious) biases toward methods that align with their own learning preferences. Hattie (2025) notes teachers have strong theories of teaching but are "far more opaque about their theories of learning." There is growing evidence that people hold faulty beliefs about how they learn, which leads them to manage their own learning and teach others in non-optimal ways.</w:t>
      </w:r>
    </w:p>
    <w:p>
      <w:pPr>
        <w:spacing w:after="120"/>
      </w:pPr>
      <w:r>
        <w:rPr>
          <w:rFonts w:ascii="Calibri" w:cs="Calibri" w:eastAsia="Calibri" w:hAnsi="Calibri"/>
          <w:sz w:val="21"/>
          <w:szCs w:val="21"/>
        </w:rPr>
        <w:t xml:space="preserve">This is compounded by confirmation bias: teachers notice when instruction seems to "work" for students who share their preferences, and discount evidence to the contrary. The practical implication is that teachers should consciously diversify their methods rather than defaulting to what feels natural.</w:t>
      </w:r>
    </w:p>
    <w:p>
      <w:pPr>
        <w:pStyle w:val="Heading1"/>
        <w:spacing w:after="200" w:before="400"/>
      </w:pPr>
      <w:r>
        <w:rPr>
          <w:rFonts w:ascii="Calibri" w:cs="Calibri" w:eastAsia="Calibri" w:hAnsi="Calibri"/>
          <w:b/>
          <w:bCs/>
          <w:color w:val="1B4F72"/>
          <w:sz w:val="28"/>
          <w:szCs w:val="28"/>
        </w:rPr>
        <w:t xml:space="preserve">5. Personality Correlations</w:t>
      </w:r>
    </w:p>
    <w:p>
      <w:pPr>
        <w:pStyle w:val="Heading2"/>
        <w:spacing w:after="150" w:before="300"/>
      </w:pPr>
      <w:r>
        <w:rPr>
          <w:rFonts w:ascii="Calibri" w:cs="Calibri" w:eastAsia="Calibri" w:hAnsi="Calibri"/>
          <w:b/>
          <w:bCs/>
          <w:color w:val="2E86C1"/>
          <w:sz w:val="24"/>
          <w:szCs w:val="24"/>
        </w:rPr>
        <w:t xml:space="preserve">5.1 Big Five Personality Traits</w:t>
      </w:r>
    </w:p>
    <w:p>
      <w:pPr>
        <w:pStyle w:val="ListParagraph"/>
        <w:numPr>
          <w:ilvl w:val="0"/>
          <w:numId w:val="2"/>
        </w:numPr>
        <w:spacing w:after="80"/>
      </w:pPr>
      <w:r>
        <w:rPr>
          <w:rFonts w:ascii="Calibri" w:cs="Calibri" w:eastAsia="Calibri" w:hAnsi="Calibri"/>
          <w:sz w:val="21"/>
          <w:szCs w:val="21"/>
        </w:rPr>
        <w:t xml:space="preserve">Extraversion correlates positively with Converger/Accommodator (Kolb) and Activist/Pragmatist (Honey &amp; Mumford) styles</w:t>
      </w:r>
    </w:p>
    <w:p>
      <w:pPr>
        <w:pStyle w:val="ListParagraph"/>
        <w:numPr>
          <w:ilvl w:val="0"/>
          <w:numId w:val="2"/>
        </w:numPr>
        <w:spacing w:after="80"/>
      </w:pPr>
      <w:r>
        <w:rPr>
          <w:rFonts w:ascii="Calibri" w:cs="Calibri" w:eastAsia="Calibri" w:hAnsi="Calibri"/>
          <w:sz w:val="21"/>
          <w:szCs w:val="21"/>
        </w:rPr>
        <w:t xml:space="preserve">Neuroticism correlates negatively with Assimilator and Accommodator styles</w:t>
      </w:r>
    </w:p>
    <w:p>
      <w:pPr>
        <w:pStyle w:val="ListParagraph"/>
        <w:numPr>
          <w:ilvl w:val="0"/>
          <w:numId w:val="2"/>
        </w:numPr>
        <w:spacing w:after="80"/>
      </w:pPr>
      <w:r>
        <w:rPr>
          <w:rFonts w:ascii="Calibri" w:cs="Calibri" w:eastAsia="Calibri" w:hAnsi="Calibri"/>
          <w:sz w:val="21"/>
          <w:szCs w:val="21"/>
        </w:rPr>
        <w:t xml:space="preserve">Conscientiousness and Agreeableness positively related to all four measured learning styles</w:t>
      </w:r>
    </w:p>
    <w:p>
      <w:pPr>
        <w:pStyle w:val="ListParagraph"/>
        <w:numPr>
          <w:ilvl w:val="0"/>
          <w:numId w:val="2"/>
        </w:numPr>
        <w:spacing w:after="80"/>
      </w:pPr>
      <w:r>
        <w:rPr>
          <w:rFonts w:ascii="Calibri" w:cs="Calibri" w:eastAsia="Calibri" w:hAnsi="Calibri"/>
          <w:sz w:val="21"/>
          <w:szCs w:val="21"/>
        </w:rPr>
        <w:t xml:space="preserve">Openness positively related to elaborative processing; its relationship to GPA is mediated by reflective learning styles</w:t>
      </w:r>
    </w:p>
    <w:p>
      <w:pPr>
        <w:pStyle w:val="ListParagraph"/>
        <w:numPr>
          <w:ilvl w:val="0"/>
          <w:numId w:val="2"/>
        </w:numPr>
        <w:spacing w:after="80"/>
      </w:pPr>
      <w:r>
        <w:rPr>
          <w:rFonts w:ascii="Calibri" w:cs="Calibri" w:eastAsia="Calibri" w:hAnsi="Calibri"/>
          <w:sz w:val="21"/>
          <w:szCs w:val="21"/>
        </w:rPr>
        <w:t xml:space="preserve">The Big Five explains ~14% of GPA variance; learning styles add ~3% (Komarraju et al.)</w:t>
      </w:r>
    </w:p>
    <w:p>
      <w:pPr>
        <w:pStyle w:val="Heading2"/>
        <w:spacing w:after="150" w:before="300"/>
      </w:pPr>
      <w:r>
        <w:rPr>
          <w:rFonts w:ascii="Calibri" w:cs="Calibri" w:eastAsia="Calibri" w:hAnsi="Calibri"/>
          <w:b/>
          <w:bCs/>
          <w:color w:val="2E86C1"/>
          <w:sz w:val="24"/>
          <w:szCs w:val="24"/>
        </w:rPr>
        <w:t xml:space="preserve">5.2 MBTI</w:t>
      </w:r>
    </w:p>
    <w:p>
      <w:pPr>
        <w:spacing w:after="120"/>
      </w:pPr>
      <w:r>
        <w:rPr>
          <w:rFonts w:ascii="Calibri" w:cs="Calibri" w:eastAsia="Calibri" w:hAnsi="Calibri"/>
          <w:sz w:val="21"/>
          <w:szCs w:val="21"/>
        </w:rPr>
        <w:t xml:space="preserve">The MBTI can predict what kinds of environments, instructional tools, and behaviors hinder or encourage learning — though a perfect one-to-one correlation with learning style is not possible. Introverts tend toward reflective styles; extraverts toward active/experiential. Sensing types prefer structured, sequential material; intuitive types prefer theoretical exploration.</w:t>
      </w:r>
    </w:p>
    <w:p>
      <w:pPr>
        <w:pStyle w:val="Heading1"/>
        <w:spacing w:after="200" w:before="400"/>
      </w:pPr>
      <w:r>
        <w:rPr>
          <w:rFonts w:ascii="Calibri" w:cs="Calibri" w:eastAsia="Calibri" w:hAnsi="Calibri"/>
          <w:b/>
          <w:bCs/>
          <w:color w:val="1B4F72"/>
          <w:sz w:val="28"/>
          <w:szCs w:val="28"/>
        </w:rPr>
        <w:t xml:space="preserve">6. Culture, Race, and ESL Learning Styles</w:t>
      </w:r>
    </w:p>
    <w:p>
      <w:pPr>
        <w:pStyle w:val="Heading2"/>
        <w:spacing w:after="150" w:before="300"/>
      </w:pPr>
      <w:r>
        <w:rPr>
          <w:rFonts w:ascii="Calibri" w:cs="Calibri" w:eastAsia="Calibri" w:hAnsi="Calibri"/>
          <w:b/>
          <w:bCs/>
          <w:color w:val="2E86C1"/>
          <w:sz w:val="24"/>
          <w:szCs w:val="24"/>
        </w:rPr>
        <w:t xml:space="preserve">6.1 Key Research Findings</w:t>
      </w:r>
    </w:p>
    <w:p>
      <w:pPr>
        <w:spacing w:after="120"/>
      </w:pPr>
      <w:r>
        <w:rPr>
          <w:rFonts w:ascii="Calibri" w:cs="Calibri" w:eastAsia="Calibri" w:hAnsi="Calibri"/>
          <w:sz w:val="21"/>
          <w:szCs w:val="21"/>
        </w:rPr>
        <w:t xml:space="preserve">Joy Reid's 1987 TESOL Quarterly study surveyed 1,388 students and remains foundational. Key findings:</w:t>
      </w:r>
    </w:p>
    <w:p>
      <w:pPr>
        <w:pStyle w:val="ListParagraph"/>
        <w:numPr>
          <w:ilvl w:val="0"/>
          <w:numId w:val="2"/>
        </w:numPr>
        <w:spacing w:after="80"/>
      </w:pPr>
      <w:r>
        <w:rPr>
          <w:rFonts w:ascii="Calibri" w:cs="Calibri" w:eastAsia="Calibri" w:hAnsi="Calibri"/>
          <w:sz w:val="21"/>
          <w:szCs w:val="21"/>
        </w:rPr>
        <w:t xml:space="preserve">Non-native speakers' learning style preferences often differ significantly from native speakers</w:t>
      </w:r>
    </w:p>
    <w:p>
      <w:pPr>
        <w:pStyle w:val="ListParagraph"/>
        <w:numPr>
          <w:ilvl w:val="0"/>
          <w:numId w:val="2"/>
        </w:numPr>
        <w:spacing w:after="80"/>
      </w:pPr>
      <w:r>
        <w:rPr>
          <w:rFonts w:ascii="Calibri" w:cs="Calibri" w:eastAsia="Calibri" w:hAnsi="Calibri"/>
          <w:sz w:val="21"/>
          <w:szCs w:val="21"/>
        </w:rPr>
        <w:t xml:space="preserve">Asian students (particularly Korean) show strong visual preferences</w:t>
      </w:r>
    </w:p>
    <w:p>
      <w:pPr>
        <w:pStyle w:val="ListParagraph"/>
        <w:numPr>
          <w:ilvl w:val="0"/>
          <w:numId w:val="2"/>
        </w:numPr>
        <w:spacing w:after="80"/>
      </w:pPr>
      <w:r>
        <w:rPr>
          <w:rFonts w:ascii="Calibri" w:cs="Calibri" w:eastAsia="Calibri" w:hAnsi="Calibri"/>
          <w:sz w:val="21"/>
          <w:szCs w:val="21"/>
        </w:rPr>
        <w:t xml:space="preserve">Hispanic learners are generally auditory learners</w:t>
      </w:r>
    </w:p>
    <w:p>
      <w:pPr>
        <w:pStyle w:val="ListParagraph"/>
        <w:numPr>
          <w:ilvl w:val="0"/>
          <w:numId w:val="2"/>
        </w:numPr>
        <w:spacing w:after="80"/>
      </w:pPr>
      <w:r>
        <w:rPr>
          <w:rFonts w:ascii="Calibri" w:cs="Calibri" w:eastAsia="Calibri" w:hAnsi="Calibri"/>
          <w:sz w:val="21"/>
          <w:szCs w:val="21"/>
        </w:rPr>
        <w:t xml:space="preserve">Many non-Western students favor tactile and kinesthetic learning</w:t>
      </w:r>
    </w:p>
    <w:p>
      <w:pPr>
        <w:pStyle w:val="ListParagraph"/>
        <w:numPr>
          <w:ilvl w:val="0"/>
          <w:numId w:val="2"/>
        </w:numPr>
        <w:spacing w:after="80"/>
      </w:pPr>
      <w:r>
        <w:rPr>
          <w:rFonts w:ascii="Calibri" w:cs="Calibri" w:eastAsia="Calibri" w:hAnsi="Calibri"/>
          <w:sz w:val="21"/>
          <w:szCs w:val="21"/>
        </w:rPr>
        <w:t xml:space="preserve">Variables including gender, length of US residence, academic field, and education level all correlate with style differences</w:t>
      </w:r>
    </w:p>
    <w:p>
      <w:pPr>
        <w:pStyle w:val="ListParagraph"/>
        <w:numPr>
          <w:ilvl w:val="0"/>
          <w:numId w:val="2"/>
        </w:numPr>
        <w:spacing w:after="80"/>
      </w:pPr>
      <w:r>
        <w:rPr>
          <w:rFonts w:ascii="Calibri" w:cs="Calibri" w:eastAsia="Calibri" w:hAnsi="Calibri"/>
          <w:sz w:val="21"/>
          <w:szCs w:val="21"/>
        </w:rPr>
        <w:t xml:space="preserve">Learning style preferences should NOT be predicted by cultural background alone (Brown, 1994; Reid, 1998)</w:t>
      </w:r>
    </w:p>
    <w:p>
      <w:pPr>
        <w:spacing w:after="120"/>
      </w:pPr>
      <w:r>
        <w:rPr>
          <w:rFonts w:ascii="Calibri" w:cs="Calibri" w:eastAsia="Calibri" w:hAnsi="Calibri"/>
          <w:sz w:val="21"/>
          <w:szCs w:val="21"/>
        </w:rPr>
        <w:t xml:space="preserve">Park (2000) studied Southeast Asian students (Cambodian, Hmong, Lao, Vietnamese) and found significant group differences in perceptual learning style preferences. Wintergerst et al. tested Russian EFL, Russian ESL, and Asian ESL students, identifying three modalities: Project Orientation, Group Activity Orientation, and Individual Activity Orientation.</w:t>
      </w:r>
    </w:p>
    <w:p>
      <w:pPr>
        <w:pStyle w:val="Heading2"/>
        <w:spacing w:after="150" w:before="300"/>
      </w:pPr>
      <w:r>
        <w:rPr>
          <w:rFonts w:ascii="Calibri" w:cs="Calibri" w:eastAsia="Calibri" w:hAnsi="Calibri"/>
          <w:b/>
          <w:bCs/>
          <w:color w:val="2E86C1"/>
          <w:sz w:val="24"/>
          <w:szCs w:val="24"/>
        </w:rPr>
        <w:t xml:space="preserve">6.2 Hofstede's Cultural Dimensions</w:t>
      </w:r>
    </w:p>
    <w:p>
      <w:pPr>
        <w:spacing w:after="120"/>
      </w:pPr>
      <w:r>
        <w:rPr>
          <w:rFonts w:ascii="Calibri" w:cs="Calibri" w:eastAsia="Calibri" w:hAnsi="Calibri"/>
          <w:sz w:val="21"/>
          <w:szCs w:val="21"/>
        </w:rPr>
        <w:t xml:space="preserve">Hofstede's individualism-collectivism dimension has been widely applied to ESL classrooms: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3200"/>
            <w:shd w:fill="1B4F72" w:val="clear"/>
          </w:tcPr>
          <w:p>
            <w:pPr>
              <w:spacing w:after="40" w:before="40"/>
            </w:pPr>
            <w:r>
              <w:rPr>
                <w:rFonts w:ascii="Calibri" w:cs="Calibri" w:eastAsia="Calibri" w:hAnsi="Calibri"/>
                <w:b/>
                <w:bCs/>
                <w:color w:val="FFFFFF"/>
                <w:sz w:val="20"/>
                <w:szCs w:val="20"/>
              </w:rPr>
              <w:t xml:space="preserve">Collectivist Cultures</w:t>
            </w:r>
          </w:p>
        </w:tc>
        <w:tc>
          <w:tcPr>
            <w:tcW w:type="dxa" w:w="5800"/>
            <w:shd w:fill="1B4F72" w:val="clear"/>
          </w:tcPr>
          <w:p>
            <w:pPr>
              <w:spacing w:after="40" w:before="40"/>
            </w:pPr>
            <w:r>
              <w:rPr>
                <w:rFonts w:ascii="Calibri" w:cs="Calibri" w:eastAsia="Calibri" w:hAnsi="Calibri"/>
                <w:b/>
                <w:bCs/>
                <w:color w:val="FFFFFF"/>
                <w:sz w:val="20"/>
                <w:szCs w:val="20"/>
              </w:rPr>
              <w:t xml:space="preserve">Individualist Cultures</w:t>
            </w:r>
          </w:p>
        </w:tc>
      </w:tr>
      <w:tr>
        <w:tc>
          <w:tcPr>
            <w:tcW w:type="dxa" w:w="3200"/>
          </w:tcPr>
          <w:p>
            <w:pPr>
              <w:spacing w:after="40" w:before="40"/>
            </w:pPr>
            <w:r>
              <w:rPr>
                <w:rFonts w:ascii="Calibri" w:cs="Calibri" w:eastAsia="Calibri" w:hAnsi="Calibri"/>
                <w:b w:val="false"/>
                <w:bCs w:val="false"/>
                <w:color w:val="333333"/>
                <w:sz w:val="20"/>
                <w:szCs w:val="20"/>
              </w:rPr>
              <w:t xml:space="preserve">Teacher-led, structured</w:t>
            </w:r>
          </w:p>
        </w:tc>
        <w:tc>
          <w:tcPr>
            <w:tcW w:type="dxa" w:w="5800"/>
          </w:tcPr>
          <w:p>
            <w:pPr>
              <w:spacing w:after="40" w:before="40"/>
            </w:pPr>
            <w:r>
              <w:rPr>
                <w:rFonts w:ascii="Calibri" w:cs="Calibri" w:eastAsia="Calibri" w:hAnsi="Calibri"/>
                <w:b w:val="false"/>
                <w:bCs w:val="false"/>
                <w:color w:val="333333"/>
                <w:sz w:val="20"/>
                <w:szCs w:val="20"/>
              </w:rPr>
              <w:t xml:space="preserve">Student-centered, autonomous</w:t>
            </w:r>
          </w:p>
        </w:tc>
      </w:tr>
      <w:tr>
        <w:tc>
          <w:tcPr>
            <w:tcW w:type="dxa" w:w="3200"/>
          </w:tcPr>
          <w:p>
            <w:pPr>
              <w:spacing w:after="40" w:before="40"/>
            </w:pPr>
            <w:r>
              <w:rPr>
                <w:rFonts w:ascii="Calibri" w:cs="Calibri" w:eastAsia="Calibri" w:hAnsi="Calibri"/>
                <w:b w:val="false"/>
                <w:bCs w:val="false"/>
                <w:color w:val="333333"/>
                <w:sz w:val="20"/>
                <w:szCs w:val="20"/>
              </w:rPr>
              <w:t xml:space="preserve">Group success emphasized</w:t>
            </w:r>
          </w:p>
        </w:tc>
        <w:tc>
          <w:tcPr>
            <w:tcW w:type="dxa" w:w="5800"/>
          </w:tcPr>
          <w:p>
            <w:pPr>
              <w:spacing w:after="40" w:before="40"/>
            </w:pPr>
            <w:r>
              <w:rPr>
                <w:rFonts w:ascii="Calibri" w:cs="Calibri" w:eastAsia="Calibri" w:hAnsi="Calibri"/>
                <w:b w:val="false"/>
                <w:bCs w:val="false"/>
                <w:color w:val="333333"/>
                <w:sz w:val="20"/>
                <w:szCs w:val="20"/>
              </w:rPr>
              <w:t xml:space="preserve">Individual achievement valued</w:t>
            </w:r>
          </w:p>
        </w:tc>
      </w:tr>
      <w:tr>
        <w:tc>
          <w:tcPr>
            <w:tcW w:type="dxa" w:w="3200"/>
          </w:tcPr>
          <w:p>
            <w:pPr>
              <w:spacing w:after="40" w:before="40"/>
            </w:pPr>
            <w:r>
              <w:rPr>
                <w:rFonts w:ascii="Calibri" w:cs="Calibri" w:eastAsia="Calibri" w:hAnsi="Calibri"/>
                <w:b w:val="false"/>
                <w:bCs w:val="false"/>
                <w:color w:val="333333"/>
                <w:sz w:val="20"/>
                <w:szCs w:val="20"/>
              </w:rPr>
              <w:t xml:space="preserve">Learn "how to do"</w:t>
            </w:r>
          </w:p>
        </w:tc>
        <w:tc>
          <w:tcPr>
            <w:tcW w:type="dxa" w:w="5800"/>
          </w:tcPr>
          <w:p>
            <w:pPr>
              <w:spacing w:after="40" w:before="40"/>
            </w:pPr>
            <w:r>
              <w:rPr>
                <w:rFonts w:ascii="Calibri" w:cs="Calibri" w:eastAsia="Calibri" w:hAnsi="Calibri"/>
                <w:b w:val="false"/>
                <w:bCs w:val="false"/>
                <w:color w:val="333333"/>
                <w:sz w:val="20"/>
                <w:szCs w:val="20"/>
              </w:rPr>
              <w:t xml:space="preserve">Learn "how to learn"</w:t>
            </w:r>
          </w:p>
        </w:tc>
      </w:tr>
      <w:tr>
        <w:tc>
          <w:tcPr>
            <w:tcW w:type="dxa" w:w="3200"/>
          </w:tcPr>
          <w:p>
            <w:pPr>
              <w:spacing w:after="40" w:before="40"/>
            </w:pPr>
            <w:r>
              <w:rPr>
                <w:rFonts w:ascii="Calibri" w:cs="Calibri" w:eastAsia="Calibri" w:hAnsi="Calibri"/>
                <w:b w:val="false"/>
                <w:bCs w:val="false"/>
                <w:color w:val="333333"/>
                <w:sz w:val="20"/>
                <w:szCs w:val="20"/>
              </w:rPr>
              <w:t xml:space="preserve">Deference to teacher authority</w:t>
            </w:r>
          </w:p>
        </w:tc>
        <w:tc>
          <w:tcPr>
            <w:tcW w:type="dxa" w:w="5800"/>
          </w:tcPr>
          <w:p>
            <w:pPr>
              <w:spacing w:after="40" w:before="40"/>
            </w:pPr>
            <w:r>
              <w:rPr>
                <w:rFonts w:ascii="Calibri" w:cs="Calibri" w:eastAsia="Calibri" w:hAnsi="Calibri"/>
                <w:b w:val="false"/>
                <w:bCs w:val="false"/>
                <w:color w:val="333333"/>
                <w:sz w:val="20"/>
                <w:szCs w:val="20"/>
              </w:rPr>
              <w:t xml:space="preserve">Students challenge and discuss</w:t>
            </w:r>
          </w:p>
        </w:tc>
      </w:tr>
      <w:tr>
        <w:tc>
          <w:tcPr>
            <w:tcW w:type="dxa" w:w="3200"/>
          </w:tcPr>
          <w:p>
            <w:pPr>
              <w:spacing w:after="40" w:before="40"/>
            </w:pPr>
            <w:r>
              <w:rPr>
                <w:rFonts w:ascii="Calibri" w:cs="Calibri" w:eastAsia="Calibri" w:hAnsi="Calibri"/>
                <w:b w:val="false"/>
                <w:bCs w:val="false"/>
                <w:color w:val="333333"/>
                <w:sz w:val="20"/>
                <w:szCs w:val="20"/>
              </w:rPr>
              <w:t xml:space="preserve">Harmony, avoid disagreement</w:t>
            </w:r>
          </w:p>
        </w:tc>
        <w:tc>
          <w:tcPr>
            <w:tcW w:type="dxa" w:w="5800"/>
          </w:tcPr>
          <w:p>
            <w:pPr>
              <w:spacing w:after="40" w:before="40"/>
            </w:pPr>
            <w:r>
              <w:rPr>
                <w:rFonts w:ascii="Calibri" w:cs="Calibri" w:eastAsia="Calibri" w:hAnsi="Calibri"/>
                <w:b w:val="false"/>
                <w:bCs w:val="false"/>
                <w:color w:val="333333"/>
                <w:sz w:val="20"/>
                <w:szCs w:val="20"/>
              </w:rPr>
              <w:t xml:space="preserve">Debate and individual voice</w:t>
            </w:r>
          </w:p>
        </w:tc>
      </w:tr>
      <w:tr>
        <w:tc>
          <w:tcPr>
            <w:tcW w:type="dxa" w:w="3200"/>
          </w:tcPr>
          <w:p>
            <w:pPr>
              <w:spacing w:after="40" w:before="40"/>
            </w:pPr>
            <w:r>
              <w:rPr>
                <w:rFonts w:ascii="Calibri" w:cs="Calibri" w:eastAsia="Calibri" w:hAnsi="Calibri"/>
                <w:b w:val="false"/>
                <w:bCs w:val="false"/>
                <w:color w:val="333333"/>
                <w:sz w:val="20"/>
                <w:szCs w:val="20"/>
              </w:rPr>
              <w:t xml:space="preserve">Education for livelihood/community</w:t>
            </w:r>
          </w:p>
        </w:tc>
        <w:tc>
          <w:tcPr>
            <w:tcW w:type="dxa" w:w="5800"/>
          </w:tcPr>
          <w:p>
            <w:pPr>
              <w:spacing w:after="40" w:before="40"/>
            </w:pPr>
            <w:r>
              <w:rPr>
                <w:rFonts w:ascii="Calibri" w:cs="Calibri" w:eastAsia="Calibri" w:hAnsi="Calibri"/>
                <w:b w:val="false"/>
                <w:bCs w:val="false"/>
                <w:color w:val="333333"/>
                <w:sz w:val="20"/>
                <w:szCs w:val="20"/>
              </w:rPr>
              <w:t xml:space="preserve">Education for self-development</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This creates a structural mismatch when Western-trained ESL teachers (individualist orientation) teach students from collectivist cultures (East Asian, Middle Eastern, Latin American). Hofstede states that cross-cultural misunderstandings occur because classroom interaction is deeply rooted in a society's culture. However, research also shows that collectivist teachers will embrace individualist practices that are congruent with their own beliefs — the picture is more nuanced than simple dichotomies.</w:t>
      </w:r>
    </w:p>
    <w:p>
      <w:r>
        <w:br w:type="page"/>
      </w:r>
    </w:p>
    <w:p>
      <w:pPr>
        <w:pStyle w:val="Heading1"/>
        <w:spacing w:after="200" w:before="400"/>
      </w:pPr>
      <w:r>
        <w:rPr>
          <w:rFonts w:ascii="Calibri" w:cs="Calibri" w:eastAsia="Calibri" w:hAnsi="Calibri"/>
          <w:b/>
          <w:bCs/>
          <w:color w:val="1B4F72"/>
          <w:sz w:val="28"/>
          <w:szCs w:val="28"/>
        </w:rPr>
        <w:t xml:space="preserve">7. ESL Methods Mapped to Learning Styles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1B4F72" w:val="clear"/>
          </w:tcPr>
          <w:p>
            <w:pPr>
              <w:spacing w:after="40" w:before="40"/>
            </w:pPr>
            <w:r>
              <w:rPr>
                <w:rFonts w:ascii="Calibri" w:cs="Calibri" w:eastAsia="Calibri" w:hAnsi="Calibri"/>
                <w:b/>
                <w:bCs/>
                <w:color w:val="FFFFFF"/>
                <w:sz w:val="20"/>
                <w:szCs w:val="20"/>
              </w:rPr>
              <w:t xml:space="preserve">ESL Method</w:t>
            </w:r>
          </w:p>
        </w:tc>
        <w:tc>
          <w:tcPr>
            <w:tcW w:type="dxa" w:w="3000"/>
            <w:shd w:fill="1B4F72" w:val="clear"/>
          </w:tcPr>
          <w:p>
            <w:pPr>
              <w:spacing w:after="40" w:before="40"/>
            </w:pPr>
            <w:r>
              <w:rPr>
                <w:rFonts w:ascii="Calibri" w:cs="Calibri" w:eastAsia="Calibri" w:hAnsi="Calibri"/>
                <w:b/>
                <w:bCs/>
                <w:color w:val="FFFFFF"/>
                <w:sz w:val="20"/>
                <w:szCs w:val="20"/>
              </w:rPr>
              <w:t xml:space="preserve">Target Styles</w:t>
            </w:r>
          </w:p>
        </w:tc>
        <w:tc>
          <w:tcPr>
            <w:tcW w:type="dxa" w:w="3600"/>
            <w:shd w:fill="1B4F72" w:val="clear"/>
          </w:tcPr>
          <w:p>
            <w:pPr>
              <w:spacing w:after="40" w:before="40"/>
            </w:pPr>
            <w:r>
              <w:rPr>
                <w:rFonts w:ascii="Calibri" w:cs="Calibri" w:eastAsia="Calibri" w:hAnsi="Calibri"/>
                <w:b/>
                <w:bCs/>
                <w:color w:val="FFFFFF"/>
                <w:sz w:val="20"/>
                <w:szCs w:val="20"/>
              </w:rPr>
              <w:t xml:space="preserve">Description</w:t>
            </w:r>
          </w:p>
        </w:tc>
      </w:tr>
      <w:tr>
        <w:tc>
          <w:tcPr>
            <w:tcW w:type="dxa" w:w="2400"/>
          </w:tcPr>
          <w:p>
            <w:pPr>
              <w:spacing w:after="40" w:before="40"/>
            </w:pPr>
            <w:r>
              <w:rPr>
                <w:rFonts w:ascii="Calibri" w:cs="Calibri" w:eastAsia="Calibri" w:hAnsi="Calibri"/>
                <w:sz w:val="19"/>
                <w:szCs w:val="19"/>
              </w:rPr>
              <w:t xml:space="preserve">TPR (Total Physical Response)</w:t>
            </w:r>
          </w:p>
        </w:tc>
        <w:tc>
          <w:tcPr>
            <w:tcW w:type="dxa" w:w="3000"/>
          </w:tcPr>
          <w:p>
            <w:pPr>
              <w:spacing w:after="40" w:before="40"/>
            </w:pPr>
            <w:r>
              <w:rPr>
                <w:rFonts w:ascii="Calibri" w:cs="Calibri" w:eastAsia="Calibri" w:hAnsi="Calibri"/>
                <w:sz w:val="19"/>
                <w:szCs w:val="19"/>
              </w:rPr>
              <w:t xml:space="preserve">Kinesthetic, Bodily-Kinesthetic</w:t>
            </w:r>
          </w:p>
        </w:tc>
        <w:tc>
          <w:tcPr>
            <w:tcW w:type="dxa" w:w="3600"/>
          </w:tcPr>
          <w:p>
            <w:pPr>
              <w:spacing w:after="40" w:before="40"/>
            </w:pPr>
            <w:r>
              <w:rPr>
                <w:rFonts w:ascii="Calibri" w:cs="Calibri" w:eastAsia="Calibri" w:hAnsi="Calibri"/>
                <w:sz w:val="19"/>
                <w:szCs w:val="19"/>
              </w:rPr>
              <w:t xml:space="preserve">Physical movement in response to verbal input; mimics infant L1 acquisition; lowers anxiety</w:t>
            </w:r>
          </w:p>
        </w:tc>
      </w:tr>
      <w:tr>
        <w:tc>
          <w:tcPr>
            <w:tcW w:type="dxa" w:w="2400"/>
          </w:tcPr>
          <w:p>
            <w:pPr>
              <w:spacing w:after="40" w:before="40"/>
            </w:pPr>
            <w:r>
              <w:rPr>
                <w:rFonts w:ascii="Calibri" w:cs="Calibri" w:eastAsia="Calibri" w:hAnsi="Calibri"/>
                <w:sz w:val="19"/>
                <w:szCs w:val="19"/>
              </w:rPr>
              <w:t xml:space="preserve">CLT (Communicative Language Teaching)</w:t>
            </w:r>
          </w:p>
        </w:tc>
        <w:tc>
          <w:tcPr>
            <w:tcW w:type="dxa" w:w="3000"/>
          </w:tcPr>
          <w:p>
            <w:pPr>
              <w:spacing w:after="40" w:before="40"/>
            </w:pPr>
            <w:r>
              <w:rPr>
                <w:rFonts w:ascii="Calibri" w:cs="Calibri" w:eastAsia="Calibri" w:hAnsi="Calibri"/>
                <w:sz w:val="19"/>
                <w:szCs w:val="19"/>
              </w:rPr>
              <w:t xml:space="preserve">Interpersonal, Auditory, Activist</w:t>
            </w:r>
          </w:p>
        </w:tc>
        <w:tc>
          <w:tcPr>
            <w:tcW w:type="dxa" w:w="3600"/>
          </w:tcPr>
          <w:p>
            <w:pPr>
              <w:spacing w:after="40" w:before="40"/>
            </w:pPr>
            <w:r>
              <w:rPr>
                <w:rFonts w:ascii="Calibri" w:cs="Calibri" w:eastAsia="Calibri" w:hAnsi="Calibri"/>
                <w:sz w:val="19"/>
                <w:szCs w:val="19"/>
              </w:rPr>
              <w:t xml:space="preserve">Meaningful interaction and authentic language use; all four skills via real-world activities</w:t>
            </w:r>
          </w:p>
        </w:tc>
      </w:tr>
      <w:tr>
        <w:tc>
          <w:tcPr>
            <w:tcW w:type="dxa" w:w="2400"/>
          </w:tcPr>
          <w:p>
            <w:pPr>
              <w:spacing w:after="40" w:before="40"/>
            </w:pPr>
            <w:r>
              <w:rPr>
                <w:rFonts w:ascii="Calibri" w:cs="Calibri" w:eastAsia="Calibri" w:hAnsi="Calibri"/>
                <w:sz w:val="19"/>
                <w:szCs w:val="19"/>
              </w:rPr>
              <w:t xml:space="preserve">TBL (Task-Based Learning)</w:t>
            </w:r>
          </w:p>
        </w:tc>
        <w:tc>
          <w:tcPr>
            <w:tcW w:type="dxa" w:w="3000"/>
          </w:tcPr>
          <w:p>
            <w:pPr>
              <w:spacing w:after="40" w:before="40"/>
            </w:pPr>
            <w:r>
              <w:rPr>
                <w:rFonts w:ascii="Calibri" w:cs="Calibri" w:eastAsia="Calibri" w:hAnsi="Calibri"/>
                <w:sz w:val="19"/>
                <w:szCs w:val="19"/>
              </w:rPr>
              <w:t xml:space="preserve">Accommodator, Converger, Pragmatist</w:t>
            </w:r>
          </w:p>
        </w:tc>
        <w:tc>
          <w:tcPr>
            <w:tcW w:type="dxa" w:w="3600"/>
          </w:tcPr>
          <w:p>
            <w:pPr>
              <w:spacing w:after="40" w:before="40"/>
            </w:pPr>
            <w:r>
              <w:rPr>
                <w:rFonts w:ascii="Calibri" w:cs="Calibri" w:eastAsia="Calibri" w:hAnsi="Calibri"/>
                <w:sz w:val="19"/>
                <w:szCs w:val="19"/>
              </w:rPr>
              <w:t xml:space="preserve">Real-world tasks (plan conference, negotiate deal, create podcast); language learned through doing</w:t>
            </w:r>
          </w:p>
        </w:tc>
      </w:tr>
      <w:tr>
        <w:tc>
          <w:tcPr>
            <w:tcW w:type="dxa" w:w="2400"/>
          </w:tcPr>
          <w:p>
            <w:pPr>
              <w:spacing w:after="40" w:before="40"/>
            </w:pPr>
            <w:r>
              <w:rPr>
                <w:rFonts w:ascii="Calibri" w:cs="Calibri" w:eastAsia="Calibri" w:hAnsi="Calibri"/>
                <w:sz w:val="19"/>
                <w:szCs w:val="19"/>
              </w:rPr>
              <w:t xml:space="preserve">Grammar-Translation</w:t>
            </w:r>
          </w:p>
        </w:tc>
        <w:tc>
          <w:tcPr>
            <w:tcW w:type="dxa" w:w="3000"/>
          </w:tcPr>
          <w:p>
            <w:pPr>
              <w:spacing w:after="40" w:before="40"/>
            </w:pPr>
            <w:r>
              <w:rPr>
                <w:rFonts w:ascii="Calibri" w:cs="Calibri" w:eastAsia="Calibri" w:hAnsi="Calibri"/>
                <w:sz w:val="19"/>
                <w:szCs w:val="19"/>
              </w:rPr>
              <w:t xml:space="preserve">Read/Write, Assimilating</w:t>
            </w:r>
          </w:p>
        </w:tc>
        <w:tc>
          <w:tcPr>
            <w:tcW w:type="dxa" w:w="3600"/>
          </w:tcPr>
          <w:p>
            <w:pPr>
              <w:spacing w:after="40" w:before="40"/>
            </w:pPr>
            <w:r>
              <w:rPr>
                <w:rFonts w:ascii="Calibri" w:cs="Calibri" w:eastAsia="Calibri" w:hAnsi="Calibri"/>
                <w:sz w:val="19"/>
                <w:szCs w:val="19"/>
              </w:rPr>
              <w:t xml:space="preserve">Grammar rules and writing accuracy; strong on structure but consistently weak on oral fluency</w:t>
            </w:r>
          </w:p>
        </w:tc>
      </w:tr>
      <w:tr>
        <w:tc>
          <w:tcPr>
            <w:tcW w:type="dxa" w:w="2400"/>
          </w:tcPr>
          <w:p>
            <w:pPr>
              <w:spacing w:after="40" w:before="40"/>
            </w:pPr>
            <w:r>
              <w:rPr>
                <w:rFonts w:ascii="Calibri" w:cs="Calibri" w:eastAsia="Calibri" w:hAnsi="Calibri"/>
                <w:sz w:val="19"/>
                <w:szCs w:val="19"/>
              </w:rPr>
              <w:t xml:space="preserve">Direct Method</w:t>
            </w:r>
          </w:p>
        </w:tc>
        <w:tc>
          <w:tcPr>
            <w:tcW w:type="dxa" w:w="3000"/>
          </w:tcPr>
          <w:p>
            <w:pPr>
              <w:spacing w:after="40" w:before="40"/>
            </w:pPr>
            <w:r>
              <w:rPr>
                <w:rFonts w:ascii="Calibri" w:cs="Calibri" w:eastAsia="Calibri" w:hAnsi="Calibri"/>
                <w:sz w:val="19"/>
                <w:szCs w:val="19"/>
              </w:rPr>
              <w:t xml:space="preserve">Auditory, Immersion</w:t>
            </w:r>
          </w:p>
        </w:tc>
        <w:tc>
          <w:tcPr>
            <w:tcW w:type="dxa" w:w="3600"/>
          </w:tcPr>
          <w:p>
            <w:pPr>
              <w:spacing w:after="40" w:before="40"/>
            </w:pPr>
            <w:r>
              <w:rPr>
                <w:rFonts w:ascii="Calibri" w:cs="Calibri" w:eastAsia="Calibri" w:hAnsi="Calibri"/>
                <w:sz w:val="19"/>
                <w:szCs w:val="19"/>
              </w:rPr>
              <w:t xml:space="preserve">All teaching in target language; no L1 translation; learn through context and immersion</w:t>
            </w:r>
          </w:p>
        </w:tc>
      </w:tr>
      <w:tr>
        <w:tc>
          <w:tcPr>
            <w:tcW w:type="dxa" w:w="2400"/>
          </w:tcPr>
          <w:p>
            <w:pPr>
              <w:spacing w:after="40" w:before="40"/>
            </w:pPr>
            <w:r>
              <w:rPr>
                <w:rFonts w:ascii="Calibri" w:cs="Calibri" w:eastAsia="Calibri" w:hAnsi="Calibri"/>
                <w:sz w:val="19"/>
                <w:szCs w:val="19"/>
              </w:rPr>
              <w:t xml:space="preserve">Suggestopedia</w:t>
            </w:r>
          </w:p>
        </w:tc>
        <w:tc>
          <w:tcPr>
            <w:tcW w:type="dxa" w:w="3000"/>
          </w:tcPr>
          <w:p>
            <w:pPr>
              <w:spacing w:after="40" w:before="40"/>
            </w:pPr>
            <w:r>
              <w:rPr>
                <w:rFonts w:ascii="Calibri" w:cs="Calibri" w:eastAsia="Calibri" w:hAnsi="Calibri"/>
                <w:sz w:val="19"/>
                <w:szCs w:val="19"/>
              </w:rPr>
              <w:t xml:space="preserve">Musical, Intrapersonal</w:t>
            </w:r>
          </w:p>
        </w:tc>
        <w:tc>
          <w:tcPr>
            <w:tcW w:type="dxa" w:w="3600"/>
          </w:tcPr>
          <w:p>
            <w:pPr>
              <w:spacing w:after="40" w:before="40"/>
            </w:pPr>
            <w:r>
              <w:rPr>
                <w:rFonts w:ascii="Calibri" w:cs="Calibri" w:eastAsia="Calibri" w:hAnsi="Calibri"/>
                <w:sz w:val="19"/>
                <w:szCs w:val="19"/>
              </w:rPr>
              <w:t xml:space="preserve">Relaxed atmosphere, music, role-play; lowers Krashen's affective filter</w:t>
            </w:r>
          </w:p>
        </w:tc>
      </w:tr>
      <w:tr>
        <w:tc>
          <w:tcPr>
            <w:tcW w:type="dxa" w:w="2400"/>
          </w:tcPr>
          <w:p>
            <w:pPr>
              <w:spacing w:after="40" w:before="40"/>
            </w:pPr>
            <w:r>
              <w:rPr>
                <w:rFonts w:ascii="Calibri" w:cs="Calibri" w:eastAsia="Calibri" w:hAnsi="Calibri"/>
                <w:sz w:val="19"/>
                <w:szCs w:val="19"/>
              </w:rPr>
              <w:t xml:space="preserve">Audio-Lingual</w:t>
            </w:r>
          </w:p>
        </w:tc>
        <w:tc>
          <w:tcPr>
            <w:tcW w:type="dxa" w:w="3000"/>
          </w:tcPr>
          <w:p>
            <w:pPr>
              <w:spacing w:after="40" w:before="40"/>
            </w:pPr>
            <w:r>
              <w:rPr>
                <w:rFonts w:ascii="Calibri" w:cs="Calibri" w:eastAsia="Calibri" w:hAnsi="Calibri"/>
                <w:sz w:val="19"/>
                <w:szCs w:val="19"/>
              </w:rPr>
              <w:t xml:space="preserve">Auditory, Behaviorist</w:t>
            </w:r>
          </w:p>
        </w:tc>
        <w:tc>
          <w:tcPr>
            <w:tcW w:type="dxa" w:w="3600"/>
          </w:tcPr>
          <w:p>
            <w:pPr>
              <w:spacing w:after="40" w:before="40"/>
            </w:pPr>
            <w:r>
              <w:rPr>
                <w:rFonts w:ascii="Calibri" w:cs="Calibri" w:eastAsia="Calibri" w:hAnsi="Calibri"/>
                <w:sz w:val="19"/>
                <w:szCs w:val="19"/>
              </w:rPr>
              <w:t xml:space="preserve">Pattern drills, repetition, error correction; rooted in behaviorist theory (stimulus-response)</w:t>
            </w:r>
          </w:p>
        </w:tc>
      </w:tr>
    </w:tbl>
    <w:p>
      <w:pPr>
        <w:pStyle w:val="Heading1"/>
        <w:spacing w:after="200" w:before="400"/>
      </w:pPr>
      <w:r>
        <w:rPr>
          <w:rFonts w:ascii="Calibri" w:cs="Calibri" w:eastAsia="Calibri" w:hAnsi="Calibri"/>
          <w:b/>
          <w:bCs/>
          <w:color w:val="1B4F72"/>
          <w:sz w:val="28"/>
          <w:szCs w:val="28"/>
        </w:rPr>
        <w:t xml:space="preserve">8. Theoretical Underpinnings for ESL</w:t>
      </w:r>
    </w:p>
    <w:p>
      <w:pPr>
        <w:pStyle w:val="Heading2"/>
        <w:spacing w:after="150" w:before="300"/>
      </w:pPr>
      <w:r>
        <w:rPr>
          <w:rFonts w:ascii="Calibri" w:cs="Calibri" w:eastAsia="Calibri" w:hAnsi="Calibri"/>
          <w:b/>
          <w:bCs/>
          <w:color w:val="2E86C1"/>
          <w:sz w:val="24"/>
          <w:szCs w:val="24"/>
        </w:rPr>
        <w:t xml:space="preserve">8.1 Krashen's Hypotheses</w:t>
      </w:r>
    </w:p>
    <w:p>
      <w:pPr>
        <w:spacing w:after="120"/>
      </w:pPr>
      <w:r>
        <w:rPr>
          <w:rFonts w:ascii="Calibri" w:cs="Calibri" w:eastAsia="Calibri" w:hAnsi="Calibri"/>
          <w:sz w:val="21"/>
          <w:szCs w:val="21"/>
        </w:rPr>
        <w:t xml:space="preserve">Stephen Krashen's Monitor Model remains foundational for ESL methodology:</w:t>
      </w:r>
    </w:p>
    <w:p>
      <w:pPr>
        <w:pStyle w:val="ListParagraph"/>
        <w:numPr>
          <w:ilvl w:val="0"/>
          <w:numId w:val="2"/>
        </w:numPr>
        <w:spacing w:after="80"/>
      </w:pPr>
      <w:r>
        <w:rPr>
          <w:rFonts w:ascii="Calibri" w:cs="Calibri" w:eastAsia="Calibri" w:hAnsi="Calibri"/>
          <w:sz w:val="21"/>
          <w:szCs w:val="21"/>
        </w:rPr>
        <w:t xml:space="preserve">Input Hypothesis — Acquisition occurs when learners receive "comprehensible input" (i+1) slightly above current level</w:t>
      </w:r>
    </w:p>
    <w:p>
      <w:pPr>
        <w:pStyle w:val="ListParagraph"/>
        <w:numPr>
          <w:ilvl w:val="0"/>
          <w:numId w:val="2"/>
        </w:numPr>
        <w:spacing w:after="80"/>
      </w:pPr>
      <w:r>
        <w:rPr>
          <w:rFonts w:ascii="Calibri" w:cs="Calibri" w:eastAsia="Calibri" w:hAnsi="Calibri"/>
          <w:sz w:val="21"/>
          <w:szCs w:val="21"/>
        </w:rPr>
        <w:t xml:space="preserve">Affective Filter Hypothesis — Anxiety, low self-confidence, and low motivation act as a filter blocking input</w:t>
      </w:r>
    </w:p>
    <w:p>
      <w:pPr>
        <w:pStyle w:val="ListParagraph"/>
        <w:numPr>
          <w:ilvl w:val="0"/>
          <w:numId w:val="2"/>
        </w:numPr>
        <w:spacing w:after="80"/>
      </w:pPr>
      <w:r>
        <w:rPr>
          <w:rFonts w:ascii="Calibri" w:cs="Calibri" w:eastAsia="Calibri" w:hAnsi="Calibri"/>
          <w:sz w:val="21"/>
          <w:szCs w:val="21"/>
        </w:rPr>
        <w:t xml:space="preserve">Acquisition vs. Learning — Unconscious acquisition is primary; conscious "learning" plays a minor monitoring role</w:t>
      </w:r>
    </w:p>
    <w:p>
      <w:pPr>
        <w:spacing w:after="120"/>
      </w:pPr>
      <w:r>
        <w:rPr>
          <w:rFonts w:ascii="Calibri" w:cs="Calibri" w:eastAsia="Calibri" w:hAnsi="Calibri"/>
          <w:sz w:val="21"/>
          <w:szCs w:val="21"/>
        </w:rPr>
        <w:t xml:space="preserve">Practical implication: Lower the affective filter. Relaxed, authentic, low-stakes environments (like an RV tour through Arizona) are ideal for acquisition.</w:t>
      </w:r>
    </w:p>
    <w:p>
      <w:pPr>
        <w:pStyle w:val="Heading2"/>
        <w:spacing w:after="150" w:before="300"/>
      </w:pPr>
      <w:r>
        <w:rPr>
          <w:rFonts w:ascii="Calibri" w:cs="Calibri" w:eastAsia="Calibri" w:hAnsi="Calibri"/>
          <w:b/>
          <w:bCs/>
          <w:color w:val="2E86C1"/>
          <w:sz w:val="24"/>
          <w:szCs w:val="24"/>
        </w:rPr>
        <w:t xml:space="preserve">8.2 Oxford's Strategy Inventory for Language Learning (SILL)</w:t>
      </w:r>
    </w:p>
    <w:p>
      <w:pPr>
        <w:spacing w:after="120"/>
      </w:pPr>
      <w:r>
        <w:rPr>
          <w:rFonts w:ascii="Calibri" w:cs="Calibri" w:eastAsia="Calibri" w:hAnsi="Calibri"/>
          <w:sz w:val="21"/>
          <w:szCs w:val="21"/>
        </w:rPr>
        <w:t xml:space="preserve">Rebecca Oxford's 1990 taxonomy classifies learning strategies into direct strategies (memory, cognitive, compensation) and indirect strategies (metacognitive, affective, social). The SILL has been translated into 20+ languages and used in dozens of cross-cultural studies. The CALLA model (Chamot &amp; O'Malley) adapts this for ESL, combining explicit strategy instruction with content-area instruction and academic language development.</w:t>
      </w:r>
    </w:p>
    <w:p>
      <w:pPr>
        <w:pStyle w:val="Heading1"/>
        <w:spacing w:after="200" w:before="400"/>
      </w:pPr>
      <w:r>
        <w:rPr>
          <w:rFonts w:ascii="Calibri" w:cs="Calibri" w:eastAsia="Calibri" w:hAnsi="Calibri"/>
          <w:b/>
          <w:bCs/>
          <w:color w:val="1B4F72"/>
          <w:sz w:val="28"/>
          <w:szCs w:val="28"/>
        </w:rPr>
        <w:t xml:space="preserve">9. Application to Your Model</w:t>
      </w:r>
    </w:p>
    <w:p>
      <w:pPr>
        <w:spacing w:after="120"/>
      </w:pPr>
      <w:r>
        <w:rPr>
          <w:rFonts w:ascii="Calibri" w:cs="Calibri" w:eastAsia="Calibri" w:hAnsi="Calibri"/>
          <w:sz w:val="21"/>
          <w:szCs w:val="21"/>
        </w:rPr>
        <w:t xml:space="preserve">Your planned ESL instruction — teaching English through architecture/AutoCAD, RV tours, and photography — is inherently multimodal and aligns with what current research supports:</w:t>
      </w:r>
    </w:p>
    <w:p>
      <w:pPr>
        <w:pStyle w:val="ListParagraph"/>
        <w:numPr>
          <w:ilvl w:val="0"/>
          <w:numId w:val="2"/>
        </w:numPr>
        <w:spacing w:after="80"/>
      </w:pPr>
      <w:r>
        <w:rPr>
          <w:rFonts w:ascii="Calibri" w:cs="Calibri" w:eastAsia="Calibri" w:hAnsi="Calibri"/>
          <w:sz w:val="21"/>
          <w:szCs w:val="21"/>
        </w:rPr>
        <w:t xml:space="preserve">Visual — blueprints, photographs, design drawings, landscape observation</w:t>
      </w:r>
    </w:p>
    <w:p>
      <w:pPr>
        <w:pStyle w:val="ListParagraph"/>
        <w:numPr>
          <w:ilvl w:val="0"/>
          <w:numId w:val="2"/>
        </w:numPr>
        <w:spacing w:after="80"/>
      </w:pPr>
      <w:r>
        <w:rPr>
          <w:rFonts w:ascii="Calibri" w:cs="Calibri" w:eastAsia="Calibri" w:hAnsi="Calibri"/>
          <w:sz w:val="21"/>
          <w:szCs w:val="21"/>
        </w:rPr>
        <w:t xml:space="preserve">Auditory — real conversation in authentic contexts (diner, campsite, site visit)</w:t>
      </w:r>
    </w:p>
    <w:p>
      <w:pPr>
        <w:pStyle w:val="ListParagraph"/>
        <w:numPr>
          <w:ilvl w:val="0"/>
          <w:numId w:val="2"/>
        </w:numPr>
        <w:spacing w:after="80"/>
      </w:pPr>
      <w:r>
        <w:rPr>
          <w:rFonts w:ascii="Calibri" w:cs="Calibri" w:eastAsia="Calibri" w:hAnsi="Calibri"/>
          <w:sz w:val="21"/>
          <w:szCs w:val="21"/>
        </w:rPr>
        <w:t xml:space="preserve">Kinesthetic — hands-on AutoCAD work, walking sites, physical travel</w:t>
      </w:r>
    </w:p>
    <w:p>
      <w:pPr>
        <w:pStyle w:val="ListParagraph"/>
        <w:numPr>
          <w:ilvl w:val="0"/>
          <w:numId w:val="2"/>
        </w:numPr>
        <w:spacing w:after="80"/>
      </w:pPr>
      <w:r>
        <w:rPr>
          <w:rFonts w:ascii="Calibri" w:cs="Calibri" w:eastAsia="Calibri" w:hAnsi="Calibri"/>
          <w:sz w:val="21"/>
          <w:szCs w:val="21"/>
        </w:rPr>
        <w:t xml:space="preserve">Read/Write — technical vocabulary, dimension descriptions, written exercises</w:t>
      </w:r>
    </w:p>
    <w:p>
      <w:pPr>
        <w:spacing w:after="120"/>
      </w:pPr>
      <w:r>
        <w:rPr>
          <w:rFonts w:ascii="Calibri" w:cs="Calibri" w:eastAsia="Calibri" w:hAnsi="Calibri"/>
          <w:sz w:val="21"/>
          <w:szCs w:val="21"/>
        </w:rPr>
        <w:t xml:space="preserve">This approach doesn't bet on one style — it hits all of them simultaneously. It's Task-Based Learning embedded in a low-anxiety, authentic setting (lowering Krashen's affective filter). It combines CLT's emphasis on meaningful communication with TPR's action-based learning. The architecture/AutoCAD specialization also provides the "content-based" instruction that Krashen and the CALLA model recommend.</w:t>
      </w:r>
    </w:p>
    <w:p>
      <w:pPr>
        <w:spacing w:after="120"/>
      </w:pPr>
      <w:r>
        <w:rPr>
          <w:rFonts w:ascii="Calibri" w:cs="Calibri" w:eastAsia="Calibri" w:hAnsi="Calibri"/>
          <w:sz w:val="21"/>
          <w:szCs w:val="21"/>
        </w:rPr>
        <w:t xml:space="preserve">For students from collectivist cultures accustomed to teacher-led structure, the RV tour format provides natural authority and guidance while exposing them to individualist Western communication norms — a bridge rather than a clash.</w:t>
      </w:r>
    </w:p>
    <w:p>
      <w:r>
        <w:br w:type="page"/>
      </w:r>
    </w:p>
    <w:p>
      <w:pPr>
        <w:pStyle w:val="Heading1"/>
        <w:spacing w:after="200" w:before="400"/>
      </w:pPr>
      <w:r>
        <w:rPr>
          <w:rFonts w:ascii="Calibri" w:cs="Calibri" w:eastAsia="Calibri" w:hAnsi="Calibri"/>
          <w:b/>
          <w:bCs/>
          <w:color w:val="1B4F72"/>
          <w:sz w:val="28"/>
          <w:szCs w:val="28"/>
        </w:rPr>
        <w:t xml:space="preserve">10. Key References</w:t>
      </w:r>
    </w:p>
    <w:p>
      <w:pPr>
        <w:spacing w:after="120"/>
      </w:pPr>
      <w:r>
        <w:rPr>
          <w:rFonts w:ascii="Calibri" w:cs="Calibri" w:eastAsia="Calibri" w:hAnsi="Calibri"/>
          <w:sz w:val="19"/>
          <w:szCs w:val="19"/>
        </w:rPr>
        <w:t xml:space="preserve">Reid, J. M. (1987). The learning style preferences of ESL students. TESOL Quarterly, 21(1), 87–111.</w:t>
      </w:r>
    </w:p>
    <w:p>
      <w:pPr>
        <w:spacing w:after="120"/>
      </w:pPr>
      <w:r>
        <w:rPr>
          <w:rFonts w:ascii="Calibri" w:cs="Calibri" w:eastAsia="Calibri" w:hAnsi="Calibri"/>
          <w:sz w:val="19"/>
          <w:szCs w:val="19"/>
        </w:rPr>
        <w:t xml:space="preserve">Oxford, R. L. (1990). Language learning strategies: What every teacher should know. Heinle &amp; Heinle.</w:t>
      </w:r>
    </w:p>
    <w:p>
      <w:pPr>
        <w:spacing w:after="120"/>
      </w:pPr>
      <w:r>
        <w:rPr>
          <w:rFonts w:ascii="Calibri" w:cs="Calibri" w:eastAsia="Calibri" w:hAnsi="Calibri"/>
          <w:sz w:val="19"/>
          <w:szCs w:val="19"/>
        </w:rPr>
        <w:t xml:space="preserve">Oxford, R. L. (2003). Language learning styles and strategies: An overview. GALA Conference Proceedings.</w:t>
      </w:r>
    </w:p>
    <w:p>
      <w:pPr>
        <w:spacing w:after="120"/>
      </w:pPr>
      <w:r>
        <w:rPr>
          <w:rFonts w:ascii="Calibri" w:cs="Calibri" w:eastAsia="Calibri" w:hAnsi="Calibri"/>
          <w:sz w:val="19"/>
          <w:szCs w:val="19"/>
        </w:rPr>
        <w:t xml:space="preserve">Pashler, H., McDaniel, M., Rohrer, D., &amp; Bjork, R. (2008). Learning styles: Concepts and evidence. Psychological Science in the Public Interest, 9(3), 105–119.</w:t>
      </w:r>
    </w:p>
    <w:p>
      <w:pPr>
        <w:spacing w:after="120"/>
      </w:pPr>
      <w:r>
        <w:rPr>
          <w:rFonts w:ascii="Calibri" w:cs="Calibri" w:eastAsia="Calibri" w:hAnsi="Calibri"/>
          <w:sz w:val="19"/>
          <w:szCs w:val="19"/>
        </w:rPr>
        <w:t xml:space="preserve">Kolb, D. A. (1984). Experiential learning: Experience as the source of learning and development. Prentice-Hall.</w:t>
      </w:r>
    </w:p>
    <w:p>
      <w:pPr>
        <w:spacing w:after="120"/>
      </w:pPr>
      <w:r>
        <w:rPr>
          <w:rFonts w:ascii="Calibri" w:cs="Calibri" w:eastAsia="Calibri" w:hAnsi="Calibri"/>
          <w:sz w:val="19"/>
          <w:szCs w:val="19"/>
        </w:rPr>
        <w:t xml:space="preserve">Gardner, H. (1993). Multiple intelligences: The theory in practice. Basic Books.</w:t>
      </w:r>
    </w:p>
    <w:p>
      <w:pPr>
        <w:spacing w:after="120"/>
      </w:pPr>
      <w:r>
        <w:rPr>
          <w:rFonts w:ascii="Calibri" w:cs="Calibri" w:eastAsia="Calibri" w:hAnsi="Calibri"/>
          <w:sz w:val="19"/>
          <w:szCs w:val="19"/>
        </w:rPr>
        <w:t xml:space="preserve">Grasha, A. F. (1996). Teaching with style. Alliance Publishers.</w:t>
      </w:r>
    </w:p>
    <w:p>
      <w:pPr>
        <w:spacing w:after="120"/>
      </w:pPr>
      <w:r>
        <w:rPr>
          <w:rFonts w:ascii="Calibri" w:cs="Calibri" w:eastAsia="Calibri" w:hAnsi="Calibri"/>
          <w:sz w:val="19"/>
          <w:szCs w:val="19"/>
        </w:rPr>
        <w:t xml:space="preserve">Hofstede, G. (1986). Cultural differences in teaching and learning. International Journal of Intercultural Relations, 10, 301–320.</w:t>
      </w:r>
    </w:p>
    <w:p>
      <w:pPr>
        <w:spacing w:after="120"/>
      </w:pPr>
      <w:r>
        <w:rPr>
          <w:rFonts w:ascii="Calibri" w:cs="Calibri" w:eastAsia="Calibri" w:hAnsi="Calibri"/>
          <w:sz w:val="19"/>
          <w:szCs w:val="19"/>
        </w:rPr>
        <w:t xml:space="preserve">Hofstede, G., Hofstede, G. J., &amp; Minkov, M. (2010). Cultures and organizations: Software of the mind. McGraw-Hill.</w:t>
      </w:r>
    </w:p>
    <w:p>
      <w:pPr>
        <w:spacing w:after="120"/>
      </w:pPr>
      <w:r>
        <w:rPr>
          <w:rFonts w:ascii="Calibri" w:cs="Calibri" w:eastAsia="Calibri" w:hAnsi="Calibri"/>
          <w:sz w:val="19"/>
          <w:szCs w:val="19"/>
        </w:rPr>
        <w:t xml:space="preserve">Newton, P. M., &amp; Salvi, A. (2020). How common is belief in the learning styles neuromyth, and does it matter? Frontiers in Education, 5, 602451.</w:t>
      </w:r>
    </w:p>
    <w:p>
      <w:pPr>
        <w:spacing w:after="120"/>
      </w:pPr>
      <w:r>
        <w:rPr>
          <w:rFonts w:ascii="Calibri" w:cs="Calibri" w:eastAsia="Calibri" w:hAnsi="Calibri"/>
          <w:sz w:val="19"/>
          <w:szCs w:val="19"/>
        </w:rPr>
        <w:t xml:space="preserve">Park, C. C. (2000). Learning style preferences of Southeast Asian students. Urban Education, 35, 245–268.</w:t>
      </w:r>
    </w:p>
    <w:p>
      <w:pPr>
        <w:spacing w:after="120"/>
      </w:pPr>
      <w:r>
        <w:rPr>
          <w:rFonts w:ascii="Calibri" w:cs="Calibri" w:eastAsia="Calibri" w:hAnsi="Calibri"/>
          <w:sz w:val="19"/>
          <w:szCs w:val="19"/>
        </w:rPr>
        <w:t xml:space="preserve">Komarraju, M., Karau, S. J., Schmeck, R. R., &amp; Avdic, A. (2011). The Big Five personality traits, learning styles, and academic achievement. Personality and Individual Differences, 51(4), 472–477.</w:t>
      </w:r>
    </w:p>
    <w:p>
      <w:pPr>
        <w:spacing w:after="120"/>
      </w:pPr>
      <w:r>
        <w:rPr>
          <w:rFonts w:ascii="Calibri" w:cs="Calibri" w:eastAsia="Calibri" w:hAnsi="Calibri"/>
          <w:sz w:val="19"/>
          <w:szCs w:val="19"/>
        </w:rPr>
        <w:t xml:space="preserve">Krashen, S. D. (1982). Principles and practice in second language acquisition. Pergamon Press.</w:t>
      </w:r>
    </w:p>
    <w:p>
      <w:pPr>
        <w:spacing w:after="120"/>
      </w:pPr>
      <w:r>
        <w:rPr>
          <w:rFonts w:ascii="Calibri" w:cs="Calibri" w:eastAsia="Calibri" w:hAnsi="Calibri"/>
          <w:sz w:val="19"/>
          <w:szCs w:val="19"/>
        </w:rPr>
        <w:t xml:space="preserve">Chamot, A. U., &amp; O'Malley, J. M. (1994). The CALLA handbook: Implementing the Cognitive Academic Language Learning Approach. Addison-Wesley.</w:t>
      </w:r>
    </w:p>
    <w:p>
      <w:pPr>
        <w:spacing w:after="120"/>
      </w:pPr>
      <w:r>
        <w:rPr>
          <w:rFonts w:ascii="Calibri" w:cs="Calibri" w:eastAsia="Calibri" w:hAnsi="Calibri"/>
          <w:sz w:val="19"/>
          <w:szCs w:val="19"/>
        </w:rPr>
        <w:t xml:space="preserve">Felder, R. M. (2020). Opinion: Uses, misuses, and validity of learning styles. Advances in Engineering Education, 8(1).</w:t>
      </w:r>
    </w:p>
    <w:p>
      <w:pPr>
        <w:spacing w:after="120"/>
      </w:pPr>
      <w:r>
        <w:rPr>
          <w:rFonts w:ascii="Calibri" w:cs="Calibri" w:eastAsia="Calibri" w:hAnsi="Calibri"/>
          <w:sz w:val="19"/>
          <w:szCs w:val="19"/>
        </w:rPr>
        <w:t xml:space="preserve">Hattie, J. (2025). Learning styles, preferences, or strategies? Educational Psychology Review.</w:t>
      </w:r>
    </w:p>
    <w:p>
      <w:pPr>
        <w:spacing w:after="120"/>
      </w:pPr>
      <w:r>
        <w:rPr>
          <w:rFonts w:ascii="Calibri" w:cs="Calibri" w:eastAsia="Calibri" w:hAnsi="Calibri"/>
          <w:sz w:val="19"/>
          <w:szCs w:val="19"/>
        </w:rPr>
        <w:t xml:space="preserve">Wintergerst, A., DeCapua, A., &amp; Itzen, R. (2001). The construct validity of one learning styles instrument. System, 29, 385–403.</w:t>
      </w:r>
    </w:p>
    <w:p>
      <w:pPr>
        <w:spacing w:after="120"/>
      </w:pPr>
      <w:r>
        <w:rPr>
          <w:rFonts w:ascii="Calibri" w:cs="Calibri" w:eastAsia="Calibri" w:hAnsi="Calibri"/>
          <w:sz w:val="19"/>
          <w:szCs w:val="19"/>
        </w:rPr>
        <w:t xml:space="preserve">Zhenhui, R. (2001). Matching teaching styles with learning styles in East Asian contexts. The Internet TESL Journal, 7(7).</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6"/>
        <w:szCs w:val="16"/>
      </w:rPr>
      <w:t xml:space="preserve">Teaching &amp; Learning Styles in ESL Instruction — Research Summary</w:t>
    </w:r>
    <w:r>
      <w:rPr>
        <w:rFonts w:ascii="Calibri" w:cs="Calibri" w:eastAsia="Calibri" w:hAnsi="Calibri"/>
        <w:color w:val="7F8C8D"/>
        <w:sz w:val="16"/>
        <w:szCs w:val="16"/>
      </w:rPr>
      <w:t xml:space="preserve">  |  Page </w:t>
    </w:r>
    <w:r>
      <w:rPr>
        <w:rFonts w:ascii="Calibri" w:cs="Calibri" w:eastAsia="Calibri" w:hAnsi="Calibri"/>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2026-07-28T21:23:09.550Z</dcterms:created>
  <dcterms:modified xsi:type="dcterms:W3CDTF">2026-07-28T21:23:09.561Z</dcterms:modified>
</cp:coreProperties>
</file>

<file path=docProps/custom.xml><?xml version="1.0" encoding="utf-8"?>
<Properties xmlns="http://schemas.openxmlformats.org/officeDocument/2006/custom-properties" xmlns:vt="http://schemas.openxmlformats.org/officeDocument/2006/docPropsVTypes"/>
</file>