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rPr>
          <w:trHeight w:val="1200" w:hRule="exact"/>
        </w:trPr>
        <w:tc>
          <w:tcPr>
            <w:tcW w:type="dxa" w:w="8640"/>
            <w:shd w:val="clear" w:color="auto" w:fill="6B1D1D"/>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280" w:after="40"/>
              <w:jc w:val="center"/>
            </w:pPr>
            <w:r>
              <w:rPr>
                <w:rFonts w:ascii="Times New Roman" w:hAnsi="Times New Roman"/>
                <w:b/>
                <w:i w:val="0"/>
                <w:color w:val="FFFFFF"/>
                <w:sz w:val="56"/>
              </w:rPr>
              <w:t>THE HARTFORD</w:t>
            </w:r>
          </w:p>
          <w:p>
            <w:pPr>
              <w:spacing w:before="0" w:after="280"/>
              <w:jc w:val="center"/>
            </w:pPr>
            <w:r>
              <w:rPr>
                <w:rFonts w:ascii="Times New Roman" w:hAnsi="Times New Roman"/>
                <w:b w:val="0"/>
                <w:i/>
                <w:color w:val="FFFFFF"/>
                <w:sz w:val="26"/>
              </w:rPr>
              <w:t>Commercial Property Insurance  —  Quote Proposal</w:t>
            </w:r>
          </w:p>
        </w:tc>
      </w:tr>
    </w:tbl>
    <w:p>
      <w:pPr>
        <w:spacing w:before="0" w:after="80"/>
        <w:jc w:val="left"/>
      </w:pPr>
    </w:p>
    <w:p>
      <w:pPr>
        <w:spacing w:before="0" w:after="40"/>
        <w:jc w:val="left"/>
      </w:pPr>
      <w:r>
        <w:rPr>
          <w:rFonts w:ascii="Times New Roman" w:hAnsi="Times New Roman"/>
          <w:b w:val="0"/>
          <w:i w:val="0"/>
          <w:color w:val="333333"/>
          <w:sz w:val="22"/>
        </w:rPr>
        <w:t>March 24, 2026</w:t>
      </w:r>
    </w:p>
    <w:p>
      <w:pPr>
        <w:spacing w:before="0" w:after="40"/>
        <w:jc w:val="left"/>
      </w:pPr>
    </w:p>
    <w:p>
      <w:pPr>
        <w:spacing w:before="0" w:after="20"/>
        <w:jc w:val="left"/>
      </w:pPr>
      <w:r>
        <w:rPr>
          <w:rFonts w:ascii="Times New Roman" w:hAnsi="Times New Roman"/>
          <w:b/>
          <w:i w:val="0"/>
          <w:color w:val="333333"/>
          <w:sz w:val="22"/>
        </w:rPr>
        <w:t>To:</w:t>
      </w:r>
    </w:p>
    <w:p>
      <w:pPr>
        <w:spacing w:before="0" w:after="20"/>
        <w:jc w:val="left"/>
      </w:pPr>
      <w:r>
        <w:rPr>
          <w:rFonts w:ascii="Times New Roman" w:hAnsi="Times New Roman"/>
          <w:b w:val="0"/>
          <w:i w:val="0"/>
          <w:color w:val="333333"/>
          <w:sz w:val="22"/>
        </w:rPr>
        <w:t>Jennifer Torres, Commercial Lines Agent</w:t>
      </w:r>
    </w:p>
    <w:p>
      <w:pPr>
        <w:spacing w:before="0" w:after="20"/>
        <w:jc w:val="left"/>
      </w:pPr>
      <w:r>
        <w:rPr>
          <w:rFonts w:ascii="Times New Roman" w:hAnsi="Times New Roman"/>
          <w:b w:val="0"/>
          <w:i w:val="0"/>
          <w:color w:val="333333"/>
          <w:sz w:val="22"/>
        </w:rPr>
        <w:t>The Hartford Commercial Lines</w:t>
      </w:r>
    </w:p>
    <w:p>
      <w:pPr>
        <w:spacing w:before="0" w:after="20"/>
        <w:jc w:val="left"/>
      </w:pPr>
      <w:r>
        <w:rPr>
          <w:rFonts w:ascii="Times New Roman" w:hAnsi="Times New Roman"/>
          <w:b w:val="0"/>
          <w:i w:val="0"/>
          <w:color w:val="333333"/>
          <w:sz w:val="22"/>
        </w:rPr>
        <w:t>890 Industrial Pkwy, Suite 200, Dallas, TX  75207</w:t>
      </w:r>
    </w:p>
    <w:p>
      <w:pPr>
        <w:spacing w:before="0" w:after="20"/>
        <w:jc w:val="left"/>
      </w:pPr>
      <w:r>
        <w:rPr>
          <w:rFonts w:ascii="Times New Roman" w:hAnsi="Times New Roman"/>
          <w:b w:val="0"/>
          <w:i w:val="0"/>
          <w:color w:val="333333"/>
          <w:sz w:val="22"/>
        </w:rPr>
        <w:t>Phone: (214) 555-0177   |   jtorres@hartford-agents.com</w:t>
      </w:r>
    </w:p>
    <w:p>
      <w:pPr>
        <w:spacing w:before="0" w:after="60"/>
        <w:jc w:val="left"/>
      </w:pPr>
    </w:p>
    <w:p>
      <w:pPr>
        <w:spacing w:before="40" w:after="120"/>
        <w:jc w:val="left"/>
      </w:pPr>
      <w:r>
        <w:rPr>
          <w:rFonts w:ascii="Times New Roman" w:hAnsi="Times New Roman"/>
          <w:b/>
          <w:i w:val="0"/>
          <w:color w:val="1B2A4A"/>
          <w:sz w:val="22"/>
        </w:rPr>
        <w:t xml:space="preserve">Re:  </w:t>
      </w:r>
      <w:r>
        <w:rPr>
          <w:rFonts w:ascii="Times New Roman" w:hAnsi="Times New Roman"/>
          <w:b w:val="0"/>
          <w:i w:val="0"/>
          <w:color w:val="333333"/>
          <w:sz w:val="22"/>
        </w:rPr>
        <w:t>Lone Star Distribution LLC — Quote #HTFRD-2026-QT-1174-W</w:t>
      </w:r>
    </w:p>
    <w:p>
      <w:pPr>
        <w:spacing w:before="0" w:after="160"/>
        <w:jc w:val="left"/>
        <w:pBdr>
          <w:bottom w:val="single" w:sz="4" w:space="0" w:color="6B1D1D"/>
        </w:pBdr>
      </w:pPr>
    </w:p>
    <w:p>
      <w:pPr>
        <w:spacing w:before="80" w:after="120"/>
        <w:jc w:val="left"/>
      </w:pPr>
      <w:r>
        <w:rPr>
          <w:rFonts w:ascii="Times New Roman" w:hAnsi="Times New Roman"/>
          <w:b w:val="0"/>
          <w:i w:val="0"/>
          <w:color w:val="333333"/>
          <w:sz w:val="22"/>
        </w:rPr>
        <w:t>Dear Ms. Torres,</w:t>
      </w:r>
    </w:p>
    <w:p>
      <w:pPr>
        <w:spacing w:before="0" w:after="160"/>
        <w:jc w:val="left"/>
      </w:pPr>
      <w:r>
        <w:rPr>
          <w:rFonts w:ascii="Times New Roman" w:hAnsi="Times New Roman"/>
          <w:b w:val="0"/>
          <w:i w:val="0"/>
          <w:color w:val="333333"/>
          <w:sz w:val="22"/>
        </w:rPr>
        <w:t>Thank you for the opportunity to quote commercial property insurance for Lone Star Distribution LLC. Please find enclosed our proposal for coverage effective May 1, 2026. This quote is based on information provided in the application dated March 15, 2026 and is subject to underwriting approval.</w:t>
      </w:r>
    </w:p>
    <w:p>
      <w:pPr>
        <w:spacing w:before="0" w:after="160"/>
        <w:jc w:val="left"/>
      </w:pPr>
      <w:r>
        <w:rPr>
          <w:rFonts w:ascii="Times New Roman" w:hAnsi="Times New Roman"/>
          <w:b w:val="0"/>
          <w:i w:val="0"/>
          <w:color w:val="333333"/>
          <w:sz w:val="22"/>
        </w:rPr>
        <w:t>The subject property is an 80,000 square-foot distribution warehouse located at 890 Industrial Pkwy, Dallas, TX 75207, constructed in 2008. The facility is a single-story pre-engineered steel structure with a standing seam metal roof, 32-foot clear height, 18 dock doors, 4 drive-in doors, and an ESFR automatic sprinkler system throughout. The building is 100% owner-occupied by Lone Star Distribution LLC with a submitted insured value of $15,000,000.</w:t>
      </w:r>
    </w:p>
    <w:tbl>
      <w:tblPr>
        <w:tblW w:type="auto" w:w="0"/>
        <w:jc w:val="center"/>
        <w:tblLook w:firstColumn="1" w:firstRow="1" w:lastColumn="0" w:lastRow="0" w:noHBand="0" w:noVBand="1" w:val="04A0"/>
      </w:tblPr>
      <w:tblGrid>
        <w:gridCol w:w="8640"/>
      </w:tblGrid>
      <w:tr>
        <w:tc>
          <w:tcPr>
            <w:tcW w:type="dxa" w:w="8640"/>
            <w:shd w:val="clear" w:color="auto" w:fill="F2F2F2"/>
            <w:tcBorders>
              <w:top w:val="single" w:sz="4" w:space="0" w:color="AAAAAA"/>
              <w:right w:val="single" w:sz="4" w:space="0" w:color="AAAAAA"/>
              <w:bottom w:val="single" w:sz="4" w:space="0" w:color="AAAAAA"/>
              <w:insideH w:val="single" w:sz="4" w:space="0" w:color="AAAAAA"/>
              <w:insideV w:val="single" w:sz="4" w:space="0" w:color="AAAAAA"/>
              <w:left w:val="single" w:sz="20" w:space="0" w:color="6B1D1D"/>
            </w:tcBorders>
          </w:tcPr>
          <w:p>
            <w:pPr>
              <w:spacing w:before="160" w:after="60"/>
              <w:jc w:val="left"/>
            </w:pPr>
            <w:r>
              <w:rPr>
                <w:rFonts w:ascii="Times New Roman" w:hAnsi="Times New Roman"/>
                <w:b/>
                <w:i w:val="0"/>
                <w:color w:val="6B1D1D"/>
                <w:sz w:val="21"/>
              </w:rPr>
              <w:t>UNDERWRITING NOTICE  —  VALUATION BASIS</w:t>
            </w:r>
          </w:p>
          <w:p>
            <w:pPr>
              <w:spacing w:before="0" w:after="160"/>
              <w:jc w:val="left"/>
            </w:pPr>
            <w:r>
              <w:rPr>
                <w:rFonts w:ascii="Times New Roman" w:hAnsi="Times New Roman"/>
                <w:b w:val="0"/>
                <w:i/>
                <w:color w:val="333333"/>
                <w:sz w:val="21"/>
              </w:rPr>
              <w:t>Please note: Coverage is quoted on an Actual Cash Value (ACV) basis. Replacement Cost coverage is not available at this time due to the pre-engineered steel construction type and roof condition noted during the risk survey. We recommend the insured obtain a professional appraisal to confirm that the building insured value of $15,000,000 adequately reflects current depreciated market value.</w:t>
            </w:r>
          </w:p>
        </w:tc>
      </w:tr>
    </w:tbl>
    <w:p>
      <w:pPr>
        <w:spacing w:before="80" w:after="80"/>
        <w:jc w:val="left"/>
      </w:pPr>
    </w:p>
    <w:p>
      <w:pPr>
        <w:spacing w:before="0" w:after="20"/>
        <w:jc w:val="left"/>
      </w:pPr>
      <w:r>
        <w:rPr>
          <w:rFonts w:ascii="Times New Roman" w:hAnsi="Times New Roman"/>
          <w:b w:val="0"/>
          <w:i w:val="0"/>
          <w:color w:val="333333"/>
          <w:sz w:val="22"/>
        </w:rPr>
        <w:t>Sincerely,</w:t>
      </w:r>
    </w:p>
    <w:p>
      <w:pPr>
        <w:spacing w:before="0" w:after="20"/>
        <w:jc w:val="left"/>
      </w:pPr>
    </w:p>
    <w:p>
      <w:pPr>
        <w:spacing w:before="0" w:after="20"/>
        <w:jc w:val="left"/>
      </w:pPr>
    </w:p>
    <w:p>
      <w:pPr>
        <w:spacing w:before="0" w:after="20"/>
        <w:jc w:val="left"/>
      </w:pPr>
    </w:p>
    <w:p>
      <w:pPr>
        <w:spacing w:before="0" w:after="20"/>
        <w:jc w:val="left"/>
      </w:pPr>
      <w:r>
        <w:rPr>
          <w:rFonts w:ascii="Times New Roman" w:hAnsi="Times New Roman"/>
          <w:b/>
          <w:i w:val="0"/>
          <w:color w:val="333333"/>
          <w:sz w:val="22"/>
        </w:rPr>
        <w:t>Robert D. Chambers</w:t>
      </w:r>
    </w:p>
    <w:p>
      <w:pPr>
        <w:spacing w:before="0" w:after="20"/>
        <w:jc w:val="left"/>
      </w:pPr>
      <w:r>
        <w:rPr>
          <w:rFonts w:ascii="Times New Roman" w:hAnsi="Times New Roman"/>
          <w:b w:val="0"/>
          <w:i w:val="0"/>
          <w:color w:val="333333"/>
          <w:sz w:val="22"/>
        </w:rPr>
        <w:t>Senior Commercial Property Underwriter</w:t>
      </w:r>
    </w:p>
    <w:p>
      <w:pPr>
        <w:spacing w:before="0" w:after="20"/>
        <w:jc w:val="left"/>
      </w:pPr>
      <w:r>
        <w:rPr>
          <w:rFonts w:ascii="Times New Roman" w:hAnsi="Times New Roman"/>
          <w:b w:val="0"/>
          <w:i w:val="0"/>
          <w:color w:val="333333"/>
          <w:sz w:val="22"/>
        </w:rPr>
        <w:t>The Hartford Fire Insurance Company</w:t>
      </w:r>
    </w:p>
    <w:p>
      <w:pPr>
        <w:spacing w:before="0" w:after="20"/>
        <w:jc w:val="left"/>
      </w:pPr>
      <w:r>
        <w:rPr>
          <w:rFonts w:ascii="Times New Roman" w:hAnsi="Times New Roman"/>
          <w:b w:val="0"/>
          <w:i w:val="0"/>
          <w:color w:val="333333"/>
          <w:sz w:val="22"/>
        </w:rPr>
        <w:t>Commercial Lines — Southwest Region</w:t>
      </w:r>
    </w:p>
    <w:p>
      <w:pPr>
        <w:spacing w:before="0" w:after="20"/>
        <w:jc w:val="left"/>
      </w:pPr>
      <w:r>
        <w:rPr>
          <w:rFonts w:ascii="Times New Roman" w:hAnsi="Times New Roman"/>
          <w:b w:val="0"/>
          <w:i w:val="0"/>
          <w:color w:val="333333"/>
          <w:sz w:val="22"/>
        </w:rPr>
        <w:t>One Hartford Plaza, Hartford, CT  06155</w:t>
      </w:r>
    </w:p>
    <w:p>
      <w:pPr>
        <w:spacing w:before="0" w:after="20"/>
        <w:jc w:val="left"/>
      </w:pPr>
      <w:r>
        <w:rPr>
          <w:rFonts w:ascii="Times New Roman" w:hAnsi="Times New Roman"/>
          <w:b w:val="0"/>
          <w:i w:val="0"/>
          <w:color w:val="333333"/>
          <w:sz w:val="22"/>
        </w:rPr>
        <w:t>Direct: (860) 555-0293   |   rchambers@thehartford.com</w:t>
      </w:r>
    </w:p>
    <w:p>
      <w:pPr>
        <w:spacing w:before="0" w:after="0"/>
        <w:jc w:val="left"/>
      </w:pPr>
      <w:r>
        <w:br w:type="page"/>
      </w:r>
    </w:p>
    <w:p>
      <w:pPr>
        <w:spacing w:before="0" w:after="0"/>
        <w:jc w:val="left"/>
      </w:pPr>
      <w:sectPr>
        <w:type w:val="nextPage"/>
      </w:sectPr>
    </w:p>
    <w:p>
      <w:pPr>
        <w:spacing w:before="200" w:after="80"/>
        <w:jc w:val="center"/>
        <w:pBdr>
          <w:bottom w:val="single" w:sz="6" w:space="0" w:color="6B1D1D"/>
        </w:pBdr>
      </w:pPr>
      <w:r>
        <w:rPr>
          <w:rFonts w:ascii="Times New Roman" w:hAnsi="Times New Roman"/>
          <w:b/>
          <w:i w:val="0"/>
          <w:color w:val="6B1D1D"/>
          <w:sz w:val="28"/>
        </w:rPr>
        <w:t>PROPERTY SCHEDULE</w:t>
      </w:r>
    </w:p>
    <w:p>
      <w:pPr>
        <w:spacing w:before="40" w:after="200"/>
        <w:jc w:val="center"/>
      </w:pPr>
      <w:r>
        <w:rPr>
          <w:rFonts w:ascii="Times New Roman" w:hAnsi="Times New Roman"/>
          <w:b w:val="0"/>
          <w:i/>
          <w:color w:val="1B2A4A"/>
          <w:sz w:val="20"/>
        </w:rPr>
        <w:t>Schedule of Insured Locations  —  Policy Effective May 1, 2026</w:t>
      </w:r>
    </w:p>
    <w:tbl>
      <w:tblPr>
        <w:tblW w:type="auto" w:w="0"/>
        <w:jc w:val="center"/>
        <w:tblLook w:firstColumn="1" w:firstRow="1" w:lastColumn="0" w:lastRow="0" w:noHBand="0" w:noVBand="1" w:val="04A0"/>
      </w:tblPr>
      <w:tblGrid>
        <w:gridCol w:w="4032"/>
        <w:gridCol w:w="5328"/>
      </w:tblGrid>
      <w:tr>
        <w:tc>
          <w:tcPr>
            <w:tcW w:type="dxa" w:w="8640"/>
            <w:gridSpan w:val="2"/>
            <w:shd w:val="clear" w:color="auto" w:fill="1B2A4A"/>
            <w:tcBorders>
              <w:bottom w:val="single" w:sz="4" w:space="0" w:color="CCCCCC"/>
              <w:insideH w:val="single" w:sz="4" w:space="0" w:color="CCCCCC"/>
              <w:insideV w:val="single" w:sz="4" w:space="0" w:color="CCCCCC"/>
              <w:left w:val="single" w:sz="10" w:space="0" w:color="6B1D1D"/>
              <w:top w:val="single" w:sz="10" w:space="0" w:color="6B1D1D"/>
              <w:right w:val="single" w:sz="10" w:space="0" w:color="6B1D1D"/>
            </w:tcBorders>
          </w:tcPr>
          <w:p>
            <w:pPr>
              <w:spacing w:before="100" w:after="100"/>
              <w:jc w:val="left"/>
            </w:pPr>
            <w:r>
              <w:rPr>
                <w:rFonts w:ascii="Times New Roman" w:hAnsi="Times New Roman"/>
                <w:b/>
                <w:i w:val="0"/>
                <w:color w:val="FFFFFF"/>
                <w:sz w:val="21"/>
              </w:rPr>
              <w:t>LOCATION DETAILS</w:t>
            </w:r>
          </w:p>
        </w:tc>
      </w:tr>
      <w:tr>
        <w:tc>
          <w:tcPr>
            <w:tcW w:type="dxa" w:w="4320"/>
            <w:tcBorders>
              <w:top w:val="single" w:sz="4" w:space="0" w:color="CCCCCC"/>
              <w:bottom w:val="single" w:sz="4" w:space="0" w:color="CCCCCC"/>
              <w:right w:val="single" w:sz="4" w:space="0" w:color="CCCCCC"/>
              <w:insideH w:val="single" w:sz="4" w:space="0" w:color="CCCCCC"/>
              <w:insideV w:val="single" w:sz="4" w:space="0" w:color="CCCCCC"/>
              <w:left w:val="single" w:sz="10" w:space="0" w:color="6B1D1D"/>
            </w:tcBorders>
          </w:tcPr>
          <w:p>
            <w:pPr>
              <w:spacing w:before="80" w:after="80"/>
              <w:jc w:val="left"/>
            </w:pPr>
            <w:r>
              <w:rPr>
                <w:rFonts w:ascii="Times New Roman" w:hAnsi="Times New Roman"/>
                <w:b/>
                <w:i w:val="0"/>
                <w:color w:val="1B2A4A"/>
                <w:sz w:val="21"/>
              </w:rPr>
              <w:t>Location Number</w:t>
            </w:r>
          </w:p>
        </w:tc>
        <w:tc>
          <w:tcPr>
            <w:tcW w:type="dxa" w:w="4320"/>
            <w:tcBorders>
              <w:top w:val="single" w:sz="4" w:space="0" w:color="CCCCCC"/>
              <w:left w:val="single" w:sz="4" w:space="0" w:color="CCCCCC"/>
              <w:bottom w:val="single" w:sz="4" w:space="0" w:color="CCCCCC"/>
              <w:insideH w:val="single" w:sz="4" w:space="0" w:color="CCCCCC"/>
              <w:insideV w:val="single" w:sz="4" w:space="0" w:color="CCCCCC"/>
              <w:right w:val="single" w:sz="10" w:space="0" w:color="6B1D1D"/>
            </w:tcBorders>
          </w:tcPr>
          <w:p>
            <w:pPr>
              <w:spacing w:before="80" w:after="80"/>
              <w:jc w:val="left"/>
            </w:pPr>
            <w:r>
              <w:rPr>
                <w:rFonts w:ascii="Times New Roman" w:hAnsi="Times New Roman"/>
                <w:b w:val="0"/>
                <w:i w:val="0"/>
                <w:color w:val="333333"/>
                <w:sz w:val="21"/>
              </w:rPr>
              <w:t>001</w:t>
            </w:r>
          </w:p>
        </w:tc>
      </w:tr>
      <w:tr>
        <w:tc>
          <w:tcPr>
            <w:tcW w:type="dxa" w:w="4320"/>
            <w:shd w:val="clear" w:color="auto" w:fill="F2F2F2"/>
            <w:tcBorders>
              <w:top w:val="single" w:sz="4" w:space="0" w:color="CCCCCC"/>
              <w:bottom w:val="single" w:sz="4" w:space="0" w:color="CCCCCC"/>
              <w:right w:val="single" w:sz="4" w:space="0" w:color="CCCCCC"/>
              <w:insideH w:val="single" w:sz="4" w:space="0" w:color="CCCCCC"/>
              <w:insideV w:val="single" w:sz="4" w:space="0" w:color="CCCCCC"/>
              <w:left w:val="single" w:sz="10" w:space="0" w:color="6B1D1D"/>
            </w:tcBorders>
          </w:tcPr>
          <w:p>
            <w:pPr>
              <w:spacing w:before="80" w:after="80"/>
              <w:jc w:val="left"/>
            </w:pPr>
            <w:r>
              <w:rPr>
                <w:rFonts w:ascii="Times New Roman" w:hAnsi="Times New Roman"/>
                <w:b/>
                <w:i w:val="0"/>
                <w:color w:val="1B2A4A"/>
                <w:sz w:val="21"/>
              </w:rPr>
              <w:t>Insured Name</w:t>
            </w:r>
          </w:p>
        </w:tc>
        <w:tc>
          <w:tcPr>
            <w:tcW w:type="dxa" w:w="4320"/>
            <w:shd w:val="clear" w:color="auto" w:fill="F2F2F2"/>
            <w:tcBorders>
              <w:top w:val="single" w:sz="4" w:space="0" w:color="CCCCCC"/>
              <w:left w:val="single" w:sz="4" w:space="0" w:color="CCCCCC"/>
              <w:bottom w:val="single" w:sz="4" w:space="0" w:color="CCCCCC"/>
              <w:insideH w:val="single" w:sz="4" w:space="0" w:color="CCCCCC"/>
              <w:insideV w:val="single" w:sz="4" w:space="0" w:color="CCCCCC"/>
              <w:right w:val="single" w:sz="10" w:space="0" w:color="6B1D1D"/>
            </w:tcBorders>
          </w:tcPr>
          <w:p>
            <w:pPr>
              <w:spacing w:before="80" w:after="80"/>
              <w:jc w:val="left"/>
            </w:pPr>
            <w:r>
              <w:rPr>
                <w:rFonts w:ascii="Times New Roman" w:hAnsi="Times New Roman"/>
                <w:b w:val="0"/>
                <w:i w:val="0"/>
                <w:color w:val="333333"/>
                <w:sz w:val="21"/>
              </w:rPr>
              <w:t>Lone Star Distribution LLC</w:t>
            </w:r>
          </w:p>
        </w:tc>
      </w:tr>
      <w:tr>
        <w:tc>
          <w:tcPr>
            <w:tcW w:type="dxa" w:w="4320"/>
            <w:tcBorders>
              <w:top w:val="single" w:sz="4" w:space="0" w:color="CCCCCC"/>
              <w:bottom w:val="single" w:sz="4" w:space="0" w:color="CCCCCC"/>
              <w:right w:val="single" w:sz="4" w:space="0" w:color="CCCCCC"/>
              <w:insideH w:val="single" w:sz="4" w:space="0" w:color="CCCCCC"/>
              <w:insideV w:val="single" w:sz="4" w:space="0" w:color="CCCCCC"/>
              <w:left w:val="single" w:sz="10" w:space="0" w:color="6B1D1D"/>
            </w:tcBorders>
          </w:tcPr>
          <w:p>
            <w:pPr>
              <w:spacing w:before="80" w:after="80"/>
              <w:jc w:val="left"/>
            </w:pPr>
            <w:r>
              <w:rPr>
                <w:rFonts w:ascii="Times New Roman" w:hAnsi="Times New Roman"/>
                <w:b/>
                <w:i w:val="0"/>
                <w:color w:val="1B2A4A"/>
                <w:sz w:val="21"/>
              </w:rPr>
              <w:t>Mailing Address</w:t>
            </w:r>
          </w:p>
        </w:tc>
        <w:tc>
          <w:tcPr>
            <w:tcW w:type="dxa" w:w="4320"/>
            <w:tcBorders>
              <w:top w:val="single" w:sz="4" w:space="0" w:color="CCCCCC"/>
              <w:left w:val="single" w:sz="4" w:space="0" w:color="CCCCCC"/>
              <w:bottom w:val="single" w:sz="4" w:space="0" w:color="CCCCCC"/>
              <w:insideH w:val="single" w:sz="4" w:space="0" w:color="CCCCCC"/>
              <w:insideV w:val="single" w:sz="4" w:space="0" w:color="CCCCCC"/>
              <w:right w:val="single" w:sz="10" w:space="0" w:color="6B1D1D"/>
            </w:tcBorders>
          </w:tcPr>
          <w:p>
            <w:pPr>
              <w:spacing w:before="80" w:after="80"/>
              <w:jc w:val="left"/>
            </w:pPr>
            <w:r>
              <w:rPr>
                <w:rFonts w:ascii="Times New Roman" w:hAnsi="Times New Roman"/>
                <w:b w:val="0"/>
                <w:i w:val="0"/>
                <w:color w:val="333333"/>
                <w:sz w:val="21"/>
              </w:rPr>
              <w:t>890 Industrial Pkwy, Suite 200</w:t>
            </w:r>
          </w:p>
        </w:tc>
      </w:tr>
      <w:tr>
        <w:tc>
          <w:tcPr>
            <w:tcW w:type="dxa" w:w="4320"/>
            <w:shd w:val="clear" w:color="auto" w:fill="F2F2F2"/>
            <w:tcBorders>
              <w:top w:val="single" w:sz="4" w:space="0" w:color="CCCCCC"/>
              <w:bottom w:val="single" w:sz="4" w:space="0" w:color="CCCCCC"/>
              <w:right w:val="single" w:sz="4" w:space="0" w:color="CCCCCC"/>
              <w:insideH w:val="single" w:sz="4" w:space="0" w:color="CCCCCC"/>
              <w:insideV w:val="single" w:sz="4" w:space="0" w:color="CCCCCC"/>
              <w:left w:val="single" w:sz="10" w:space="0" w:color="6B1D1D"/>
            </w:tcBorders>
          </w:tcPr>
          <w:p>
            <w:pPr>
              <w:spacing w:before="80" w:after="80"/>
              <w:jc w:val="left"/>
            </w:pPr>
            <w:r>
              <w:rPr>
                <w:rFonts w:ascii="Times New Roman" w:hAnsi="Times New Roman"/>
                <w:b/>
                <w:i w:val="0"/>
                <w:color w:val="1B2A4A"/>
                <w:sz w:val="21"/>
              </w:rPr>
              <w:t>City / State / ZIP</w:t>
            </w:r>
          </w:p>
        </w:tc>
        <w:tc>
          <w:tcPr>
            <w:tcW w:type="dxa" w:w="4320"/>
            <w:shd w:val="clear" w:color="auto" w:fill="F2F2F2"/>
            <w:tcBorders>
              <w:top w:val="single" w:sz="4" w:space="0" w:color="CCCCCC"/>
              <w:left w:val="single" w:sz="4" w:space="0" w:color="CCCCCC"/>
              <w:bottom w:val="single" w:sz="4" w:space="0" w:color="CCCCCC"/>
              <w:insideH w:val="single" w:sz="4" w:space="0" w:color="CCCCCC"/>
              <w:insideV w:val="single" w:sz="4" w:space="0" w:color="CCCCCC"/>
              <w:right w:val="single" w:sz="10" w:space="0" w:color="6B1D1D"/>
            </w:tcBorders>
          </w:tcPr>
          <w:p>
            <w:pPr>
              <w:spacing w:before="80" w:after="80"/>
              <w:jc w:val="left"/>
            </w:pPr>
            <w:r>
              <w:rPr>
                <w:rFonts w:ascii="Times New Roman" w:hAnsi="Times New Roman"/>
                <w:b w:val="0"/>
                <w:i w:val="0"/>
                <w:color w:val="333333"/>
                <w:sz w:val="21"/>
              </w:rPr>
              <w:t>Dallas, TX  75207</w:t>
            </w:r>
          </w:p>
        </w:tc>
      </w:tr>
      <w:tr>
        <w:tc>
          <w:tcPr>
            <w:tcW w:type="dxa" w:w="8640"/>
            <w:gridSpan w:val="2"/>
            <w:shd w:val="clear" w:color="auto" w:fill="1B2A4A"/>
            <w:tcBorders>
              <w:top w:val="single" w:sz="4" w:space="0" w:color="CCCCCC"/>
              <w:bottom w:val="single" w:sz="4" w:space="0" w:color="CCCCCC"/>
              <w:insideH w:val="single" w:sz="4" w:space="0" w:color="CCCCCC"/>
              <w:insideV w:val="single" w:sz="4" w:space="0" w:color="CCCCCC"/>
              <w:left w:val="single" w:sz="10" w:space="0" w:color="6B1D1D"/>
              <w:right w:val="single" w:sz="10" w:space="0" w:color="6B1D1D"/>
            </w:tcBorders>
          </w:tcPr>
          <w:p>
            <w:pPr>
              <w:spacing w:before="100" w:after="100"/>
              <w:jc w:val="left"/>
            </w:pPr>
            <w:r>
              <w:rPr>
                <w:rFonts w:ascii="Times New Roman" w:hAnsi="Times New Roman"/>
                <w:b/>
                <w:i w:val="0"/>
                <w:color w:val="FFFFFF"/>
                <w:sz w:val="21"/>
              </w:rPr>
              <w:t>BUILDING DESCRIPTION</w:t>
            </w:r>
          </w:p>
        </w:tc>
      </w:tr>
      <w:tr>
        <w:tc>
          <w:tcPr>
            <w:tcW w:type="dxa" w:w="4320"/>
            <w:tcBorders>
              <w:top w:val="single" w:sz="4" w:space="0" w:color="CCCCCC"/>
              <w:bottom w:val="single" w:sz="4" w:space="0" w:color="CCCCCC"/>
              <w:right w:val="single" w:sz="4" w:space="0" w:color="CCCCCC"/>
              <w:insideH w:val="single" w:sz="4" w:space="0" w:color="CCCCCC"/>
              <w:insideV w:val="single" w:sz="4" w:space="0" w:color="CCCCCC"/>
              <w:left w:val="single" w:sz="10" w:space="0" w:color="6B1D1D"/>
            </w:tcBorders>
          </w:tcPr>
          <w:p>
            <w:pPr>
              <w:spacing w:before="80" w:after="80"/>
              <w:jc w:val="left"/>
            </w:pPr>
            <w:r>
              <w:rPr>
                <w:rFonts w:ascii="Times New Roman" w:hAnsi="Times New Roman"/>
                <w:b/>
                <w:i w:val="0"/>
                <w:color w:val="1B2A4A"/>
                <w:sz w:val="21"/>
              </w:rPr>
              <w:t>Property Type</w:t>
            </w:r>
          </w:p>
        </w:tc>
        <w:tc>
          <w:tcPr>
            <w:tcW w:type="dxa" w:w="4320"/>
            <w:tcBorders>
              <w:top w:val="single" w:sz="4" w:space="0" w:color="CCCCCC"/>
              <w:left w:val="single" w:sz="4" w:space="0" w:color="CCCCCC"/>
              <w:bottom w:val="single" w:sz="4" w:space="0" w:color="CCCCCC"/>
              <w:insideH w:val="single" w:sz="4" w:space="0" w:color="CCCCCC"/>
              <w:insideV w:val="single" w:sz="4" w:space="0" w:color="CCCCCC"/>
              <w:right w:val="single" w:sz="10" w:space="0" w:color="6B1D1D"/>
            </w:tcBorders>
          </w:tcPr>
          <w:p>
            <w:pPr>
              <w:spacing w:before="80" w:after="80"/>
              <w:jc w:val="left"/>
            </w:pPr>
            <w:r>
              <w:rPr>
                <w:rFonts w:ascii="Times New Roman" w:hAnsi="Times New Roman"/>
                <w:b w:val="0"/>
                <w:i w:val="0"/>
                <w:color w:val="333333"/>
                <w:sz w:val="21"/>
              </w:rPr>
              <w:t>Distribution Warehouse — Single Tenant</w:t>
            </w:r>
          </w:p>
        </w:tc>
      </w:tr>
      <w:tr>
        <w:tc>
          <w:tcPr>
            <w:tcW w:type="dxa" w:w="4320"/>
            <w:shd w:val="clear" w:color="auto" w:fill="F2F2F2"/>
            <w:tcBorders>
              <w:top w:val="single" w:sz="4" w:space="0" w:color="CCCCCC"/>
              <w:bottom w:val="single" w:sz="4" w:space="0" w:color="CCCCCC"/>
              <w:right w:val="single" w:sz="4" w:space="0" w:color="CCCCCC"/>
              <w:insideH w:val="single" w:sz="4" w:space="0" w:color="CCCCCC"/>
              <w:insideV w:val="single" w:sz="4" w:space="0" w:color="CCCCCC"/>
              <w:left w:val="single" w:sz="10" w:space="0" w:color="6B1D1D"/>
            </w:tcBorders>
          </w:tcPr>
          <w:p>
            <w:pPr>
              <w:spacing w:before="80" w:after="80"/>
              <w:jc w:val="left"/>
            </w:pPr>
            <w:r>
              <w:rPr>
                <w:rFonts w:ascii="Times New Roman" w:hAnsi="Times New Roman"/>
                <w:b/>
                <w:i w:val="0"/>
                <w:color w:val="1B2A4A"/>
                <w:sz w:val="21"/>
              </w:rPr>
              <w:t>Year Built</w:t>
            </w:r>
          </w:p>
        </w:tc>
        <w:tc>
          <w:tcPr>
            <w:tcW w:type="dxa" w:w="4320"/>
            <w:shd w:val="clear" w:color="auto" w:fill="F2F2F2"/>
            <w:tcBorders>
              <w:top w:val="single" w:sz="4" w:space="0" w:color="CCCCCC"/>
              <w:left w:val="single" w:sz="4" w:space="0" w:color="CCCCCC"/>
              <w:bottom w:val="single" w:sz="4" w:space="0" w:color="CCCCCC"/>
              <w:insideH w:val="single" w:sz="4" w:space="0" w:color="CCCCCC"/>
              <w:insideV w:val="single" w:sz="4" w:space="0" w:color="CCCCCC"/>
              <w:right w:val="single" w:sz="10" w:space="0" w:color="6B1D1D"/>
            </w:tcBorders>
          </w:tcPr>
          <w:p>
            <w:pPr>
              <w:spacing w:before="80" w:after="80"/>
              <w:jc w:val="left"/>
            </w:pPr>
            <w:r>
              <w:rPr>
                <w:rFonts w:ascii="Times New Roman" w:hAnsi="Times New Roman"/>
                <w:b w:val="0"/>
                <w:i w:val="0"/>
                <w:color w:val="333333"/>
                <w:sz w:val="21"/>
              </w:rPr>
              <w:t>2008</w:t>
            </w:r>
          </w:p>
        </w:tc>
      </w:tr>
      <w:tr>
        <w:tc>
          <w:tcPr>
            <w:tcW w:type="dxa" w:w="4320"/>
            <w:tcBorders>
              <w:top w:val="single" w:sz="4" w:space="0" w:color="CCCCCC"/>
              <w:bottom w:val="single" w:sz="4" w:space="0" w:color="CCCCCC"/>
              <w:right w:val="single" w:sz="4" w:space="0" w:color="CCCCCC"/>
              <w:insideH w:val="single" w:sz="4" w:space="0" w:color="CCCCCC"/>
              <w:insideV w:val="single" w:sz="4" w:space="0" w:color="CCCCCC"/>
              <w:left w:val="single" w:sz="10" w:space="0" w:color="6B1D1D"/>
            </w:tcBorders>
          </w:tcPr>
          <w:p>
            <w:pPr>
              <w:spacing w:before="80" w:after="80"/>
              <w:jc w:val="left"/>
            </w:pPr>
            <w:r>
              <w:rPr>
                <w:rFonts w:ascii="Times New Roman" w:hAnsi="Times New Roman"/>
                <w:b/>
                <w:i w:val="0"/>
                <w:color w:val="1B2A4A"/>
                <w:sz w:val="21"/>
              </w:rPr>
              <w:t>Number of Stories</w:t>
            </w:r>
          </w:p>
        </w:tc>
        <w:tc>
          <w:tcPr>
            <w:tcW w:type="dxa" w:w="4320"/>
            <w:tcBorders>
              <w:top w:val="single" w:sz="4" w:space="0" w:color="CCCCCC"/>
              <w:left w:val="single" w:sz="4" w:space="0" w:color="CCCCCC"/>
              <w:bottom w:val="single" w:sz="4" w:space="0" w:color="CCCCCC"/>
              <w:insideH w:val="single" w:sz="4" w:space="0" w:color="CCCCCC"/>
              <w:insideV w:val="single" w:sz="4" w:space="0" w:color="CCCCCC"/>
              <w:right w:val="single" w:sz="10" w:space="0" w:color="6B1D1D"/>
            </w:tcBorders>
          </w:tcPr>
          <w:p>
            <w:pPr>
              <w:spacing w:before="80" w:after="80"/>
              <w:jc w:val="left"/>
            </w:pPr>
            <w:r>
              <w:rPr>
                <w:rFonts w:ascii="Times New Roman" w:hAnsi="Times New Roman"/>
                <w:b w:val="0"/>
                <w:i w:val="0"/>
                <w:color w:val="333333"/>
                <w:sz w:val="21"/>
              </w:rPr>
              <w:t>1</w:t>
            </w:r>
          </w:p>
        </w:tc>
      </w:tr>
      <w:tr>
        <w:tc>
          <w:tcPr>
            <w:tcW w:type="dxa" w:w="4320"/>
            <w:shd w:val="clear" w:color="auto" w:fill="F2F2F2"/>
            <w:tcBorders>
              <w:top w:val="single" w:sz="4" w:space="0" w:color="CCCCCC"/>
              <w:bottom w:val="single" w:sz="4" w:space="0" w:color="CCCCCC"/>
              <w:right w:val="single" w:sz="4" w:space="0" w:color="CCCCCC"/>
              <w:insideH w:val="single" w:sz="4" w:space="0" w:color="CCCCCC"/>
              <w:insideV w:val="single" w:sz="4" w:space="0" w:color="CCCCCC"/>
              <w:left w:val="single" w:sz="10" w:space="0" w:color="6B1D1D"/>
            </w:tcBorders>
          </w:tcPr>
          <w:p>
            <w:pPr>
              <w:spacing w:before="80" w:after="80"/>
              <w:jc w:val="left"/>
            </w:pPr>
            <w:r>
              <w:rPr>
                <w:rFonts w:ascii="Times New Roman" w:hAnsi="Times New Roman"/>
                <w:b/>
                <w:i w:val="0"/>
                <w:color w:val="1B2A4A"/>
                <w:sz w:val="21"/>
              </w:rPr>
              <w:t>Total Gross Area</w:t>
            </w:r>
          </w:p>
        </w:tc>
        <w:tc>
          <w:tcPr>
            <w:tcW w:type="dxa" w:w="4320"/>
            <w:shd w:val="clear" w:color="auto" w:fill="F2F2F2"/>
            <w:tcBorders>
              <w:top w:val="single" w:sz="4" w:space="0" w:color="CCCCCC"/>
              <w:left w:val="single" w:sz="4" w:space="0" w:color="CCCCCC"/>
              <w:bottom w:val="single" w:sz="4" w:space="0" w:color="CCCCCC"/>
              <w:insideH w:val="single" w:sz="4" w:space="0" w:color="CCCCCC"/>
              <w:insideV w:val="single" w:sz="4" w:space="0" w:color="CCCCCC"/>
              <w:right w:val="single" w:sz="10" w:space="0" w:color="6B1D1D"/>
            </w:tcBorders>
          </w:tcPr>
          <w:p>
            <w:pPr>
              <w:spacing w:before="80" w:after="80"/>
              <w:jc w:val="left"/>
            </w:pPr>
            <w:r>
              <w:rPr>
                <w:rFonts w:ascii="Times New Roman" w:hAnsi="Times New Roman"/>
                <w:b w:val="0"/>
                <w:i w:val="0"/>
                <w:color w:val="333333"/>
                <w:sz w:val="21"/>
              </w:rPr>
              <w:t>80,000 SF</w:t>
            </w:r>
          </w:p>
        </w:tc>
      </w:tr>
      <w:tr>
        <w:tc>
          <w:tcPr>
            <w:tcW w:type="dxa" w:w="4320"/>
            <w:tcBorders>
              <w:top w:val="single" w:sz="4" w:space="0" w:color="CCCCCC"/>
              <w:bottom w:val="single" w:sz="4" w:space="0" w:color="CCCCCC"/>
              <w:right w:val="single" w:sz="4" w:space="0" w:color="CCCCCC"/>
              <w:insideH w:val="single" w:sz="4" w:space="0" w:color="CCCCCC"/>
              <w:insideV w:val="single" w:sz="4" w:space="0" w:color="CCCCCC"/>
              <w:left w:val="single" w:sz="10" w:space="0" w:color="6B1D1D"/>
            </w:tcBorders>
          </w:tcPr>
          <w:p>
            <w:pPr>
              <w:spacing w:before="80" w:after="80"/>
              <w:jc w:val="left"/>
            </w:pPr>
            <w:r>
              <w:rPr>
                <w:rFonts w:ascii="Times New Roman" w:hAnsi="Times New Roman"/>
                <w:b/>
                <w:i w:val="0"/>
                <w:color w:val="1B2A4A"/>
                <w:sz w:val="21"/>
              </w:rPr>
              <w:t>Clear Height</w:t>
            </w:r>
          </w:p>
        </w:tc>
        <w:tc>
          <w:tcPr>
            <w:tcW w:type="dxa" w:w="4320"/>
            <w:tcBorders>
              <w:top w:val="single" w:sz="4" w:space="0" w:color="CCCCCC"/>
              <w:left w:val="single" w:sz="4" w:space="0" w:color="CCCCCC"/>
              <w:bottom w:val="single" w:sz="4" w:space="0" w:color="CCCCCC"/>
              <w:insideH w:val="single" w:sz="4" w:space="0" w:color="CCCCCC"/>
              <w:insideV w:val="single" w:sz="4" w:space="0" w:color="CCCCCC"/>
              <w:right w:val="single" w:sz="10" w:space="0" w:color="6B1D1D"/>
            </w:tcBorders>
          </w:tcPr>
          <w:p>
            <w:pPr>
              <w:spacing w:before="80" w:after="80"/>
              <w:jc w:val="left"/>
            </w:pPr>
            <w:r>
              <w:rPr>
                <w:rFonts w:ascii="Times New Roman" w:hAnsi="Times New Roman"/>
                <w:b w:val="0"/>
                <w:i w:val="0"/>
                <w:color w:val="333333"/>
                <w:sz w:val="21"/>
              </w:rPr>
              <w:t>32 ft</w:t>
            </w:r>
          </w:p>
        </w:tc>
      </w:tr>
      <w:tr>
        <w:tc>
          <w:tcPr>
            <w:tcW w:type="dxa" w:w="4320"/>
            <w:shd w:val="clear" w:color="auto" w:fill="F2F2F2"/>
            <w:tcBorders>
              <w:top w:val="single" w:sz="4" w:space="0" w:color="CCCCCC"/>
              <w:bottom w:val="single" w:sz="4" w:space="0" w:color="CCCCCC"/>
              <w:right w:val="single" w:sz="4" w:space="0" w:color="CCCCCC"/>
              <w:insideH w:val="single" w:sz="4" w:space="0" w:color="CCCCCC"/>
              <w:insideV w:val="single" w:sz="4" w:space="0" w:color="CCCCCC"/>
              <w:left w:val="single" w:sz="10" w:space="0" w:color="6B1D1D"/>
            </w:tcBorders>
          </w:tcPr>
          <w:p>
            <w:pPr>
              <w:spacing w:before="80" w:after="80"/>
              <w:jc w:val="left"/>
            </w:pPr>
            <w:r>
              <w:rPr>
                <w:rFonts w:ascii="Times New Roman" w:hAnsi="Times New Roman"/>
                <w:b/>
                <w:i w:val="0"/>
                <w:color w:val="1B2A4A"/>
                <w:sz w:val="21"/>
              </w:rPr>
              <w:t>Dock Doors</w:t>
            </w:r>
          </w:p>
        </w:tc>
        <w:tc>
          <w:tcPr>
            <w:tcW w:type="dxa" w:w="4320"/>
            <w:shd w:val="clear" w:color="auto" w:fill="F2F2F2"/>
            <w:tcBorders>
              <w:top w:val="single" w:sz="4" w:space="0" w:color="CCCCCC"/>
              <w:left w:val="single" w:sz="4" w:space="0" w:color="CCCCCC"/>
              <w:bottom w:val="single" w:sz="4" w:space="0" w:color="CCCCCC"/>
              <w:insideH w:val="single" w:sz="4" w:space="0" w:color="CCCCCC"/>
              <w:insideV w:val="single" w:sz="4" w:space="0" w:color="CCCCCC"/>
              <w:right w:val="single" w:sz="10" w:space="0" w:color="6B1D1D"/>
            </w:tcBorders>
          </w:tcPr>
          <w:p>
            <w:pPr>
              <w:spacing w:before="80" w:after="80"/>
              <w:jc w:val="left"/>
            </w:pPr>
            <w:r>
              <w:rPr>
                <w:rFonts w:ascii="Times New Roman" w:hAnsi="Times New Roman"/>
                <w:b w:val="0"/>
                <w:i w:val="0"/>
                <w:color w:val="333333"/>
                <w:sz w:val="21"/>
              </w:rPr>
              <w:t>18</w:t>
            </w:r>
          </w:p>
        </w:tc>
      </w:tr>
      <w:tr>
        <w:tc>
          <w:tcPr>
            <w:tcW w:type="dxa" w:w="4320"/>
            <w:tcBorders>
              <w:top w:val="single" w:sz="4" w:space="0" w:color="CCCCCC"/>
              <w:bottom w:val="single" w:sz="4" w:space="0" w:color="CCCCCC"/>
              <w:right w:val="single" w:sz="4" w:space="0" w:color="CCCCCC"/>
              <w:insideH w:val="single" w:sz="4" w:space="0" w:color="CCCCCC"/>
              <w:insideV w:val="single" w:sz="4" w:space="0" w:color="CCCCCC"/>
              <w:left w:val="single" w:sz="10" w:space="0" w:color="6B1D1D"/>
            </w:tcBorders>
          </w:tcPr>
          <w:p>
            <w:pPr>
              <w:spacing w:before="80" w:after="80"/>
              <w:jc w:val="left"/>
            </w:pPr>
            <w:r>
              <w:rPr>
                <w:rFonts w:ascii="Times New Roman" w:hAnsi="Times New Roman"/>
                <w:b/>
                <w:i w:val="0"/>
                <w:color w:val="1B2A4A"/>
                <w:sz w:val="21"/>
              </w:rPr>
              <w:t>Drive-In Doors</w:t>
            </w:r>
          </w:p>
        </w:tc>
        <w:tc>
          <w:tcPr>
            <w:tcW w:type="dxa" w:w="4320"/>
            <w:tcBorders>
              <w:top w:val="single" w:sz="4" w:space="0" w:color="CCCCCC"/>
              <w:left w:val="single" w:sz="4" w:space="0" w:color="CCCCCC"/>
              <w:bottom w:val="single" w:sz="4" w:space="0" w:color="CCCCCC"/>
              <w:insideH w:val="single" w:sz="4" w:space="0" w:color="CCCCCC"/>
              <w:insideV w:val="single" w:sz="4" w:space="0" w:color="CCCCCC"/>
              <w:right w:val="single" w:sz="10" w:space="0" w:color="6B1D1D"/>
            </w:tcBorders>
          </w:tcPr>
          <w:p>
            <w:pPr>
              <w:spacing w:before="80" w:after="80"/>
              <w:jc w:val="left"/>
            </w:pPr>
            <w:r>
              <w:rPr>
                <w:rFonts w:ascii="Times New Roman" w:hAnsi="Times New Roman"/>
                <w:b w:val="0"/>
                <w:i w:val="0"/>
                <w:color w:val="333333"/>
                <w:sz w:val="21"/>
              </w:rPr>
              <w:t>4</w:t>
            </w:r>
          </w:p>
        </w:tc>
      </w:tr>
      <w:tr>
        <w:tc>
          <w:tcPr>
            <w:tcW w:type="dxa" w:w="8640"/>
            <w:gridSpan w:val="2"/>
            <w:shd w:val="clear" w:color="auto" w:fill="1B2A4A"/>
            <w:tcBorders>
              <w:top w:val="single" w:sz="4" w:space="0" w:color="CCCCCC"/>
              <w:bottom w:val="single" w:sz="4" w:space="0" w:color="CCCCCC"/>
              <w:insideH w:val="single" w:sz="4" w:space="0" w:color="CCCCCC"/>
              <w:insideV w:val="single" w:sz="4" w:space="0" w:color="CCCCCC"/>
              <w:left w:val="single" w:sz="10" w:space="0" w:color="6B1D1D"/>
              <w:right w:val="single" w:sz="10" w:space="0" w:color="6B1D1D"/>
            </w:tcBorders>
          </w:tcPr>
          <w:p>
            <w:pPr>
              <w:spacing w:before="100" w:after="100"/>
              <w:jc w:val="left"/>
            </w:pPr>
            <w:r>
              <w:rPr>
                <w:rFonts w:ascii="Times New Roman" w:hAnsi="Times New Roman"/>
                <w:b/>
                <w:i w:val="0"/>
                <w:color w:val="FFFFFF"/>
                <w:sz w:val="21"/>
              </w:rPr>
              <w:t>CONSTRUCTION DETAILS</w:t>
            </w:r>
          </w:p>
        </w:tc>
      </w:tr>
      <w:tr>
        <w:tc>
          <w:tcPr>
            <w:tcW w:type="dxa" w:w="4320"/>
            <w:tcBorders>
              <w:top w:val="single" w:sz="4" w:space="0" w:color="CCCCCC"/>
              <w:bottom w:val="single" w:sz="4" w:space="0" w:color="CCCCCC"/>
              <w:right w:val="single" w:sz="4" w:space="0" w:color="CCCCCC"/>
              <w:insideH w:val="single" w:sz="4" w:space="0" w:color="CCCCCC"/>
              <w:insideV w:val="single" w:sz="4" w:space="0" w:color="CCCCCC"/>
              <w:left w:val="single" w:sz="10" w:space="0" w:color="6B1D1D"/>
            </w:tcBorders>
          </w:tcPr>
          <w:p>
            <w:pPr>
              <w:spacing w:before="80" w:after="80"/>
              <w:jc w:val="left"/>
            </w:pPr>
            <w:r>
              <w:rPr>
                <w:rFonts w:ascii="Times New Roman" w:hAnsi="Times New Roman"/>
                <w:b/>
                <w:i w:val="0"/>
                <w:color w:val="1B2A4A"/>
                <w:sz w:val="21"/>
              </w:rPr>
              <w:t>Construction Type</w:t>
            </w:r>
          </w:p>
        </w:tc>
        <w:tc>
          <w:tcPr>
            <w:tcW w:type="dxa" w:w="4320"/>
            <w:tcBorders>
              <w:top w:val="single" w:sz="4" w:space="0" w:color="CCCCCC"/>
              <w:left w:val="single" w:sz="4" w:space="0" w:color="CCCCCC"/>
              <w:bottom w:val="single" w:sz="4" w:space="0" w:color="CCCCCC"/>
              <w:insideH w:val="single" w:sz="4" w:space="0" w:color="CCCCCC"/>
              <w:insideV w:val="single" w:sz="4" w:space="0" w:color="CCCCCC"/>
              <w:right w:val="single" w:sz="10" w:space="0" w:color="6B1D1D"/>
            </w:tcBorders>
          </w:tcPr>
          <w:p>
            <w:pPr>
              <w:spacing w:before="80" w:after="80"/>
              <w:jc w:val="left"/>
            </w:pPr>
            <w:r>
              <w:rPr>
                <w:rFonts w:ascii="Times New Roman" w:hAnsi="Times New Roman"/>
                <w:b w:val="0"/>
                <w:i w:val="0"/>
                <w:color w:val="333333"/>
                <w:sz w:val="21"/>
              </w:rPr>
              <w:t>Pre-Engineered Steel</w:t>
            </w:r>
          </w:p>
        </w:tc>
      </w:tr>
      <w:tr>
        <w:tc>
          <w:tcPr>
            <w:tcW w:type="dxa" w:w="4320"/>
            <w:shd w:val="clear" w:color="auto" w:fill="F2F2F2"/>
            <w:tcBorders>
              <w:top w:val="single" w:sz="4" w:space="0" w:color="CCCCCC"/>
              <w:bottom w:val="single" w:sz="4" w:space="0" w:color="CCCCCC"/>
              <w:right w:val="single" w:sz="4" w:space="0" w:color="CCCCCC"/>
              <w:insideH w:val="single" w:sz="4" w:space="0" w:color="CCCCCC"/>
              <w:insideV w:val="single" w:sz="4" w:space="0" w:color="CCCCCC"/>
              <w:left w:val="single" w:sz="10" w:space="0" w:color="6B1D1D"/>
            </w:tcBorders>
          </w:tcPr>
          <w:p>
            <w:pPr>
              <w:spacing w:before="80" w:after="80"/>
              <w:jc w:val="left"/>
            </w:pPr>
            <w:r>
              <w:rPr>
                <w:rFonts w:ascii="Times New Roman" w:hAnsi="Times New Roman"/>
                <w:b/>
                <w:i w:val="0"/>
                <w:color w:val="1B2A4A"/>
                <w:sz w:val="21"/>
              </w:rPr>
              <w:t>Roof Type</w:t>
            </w:r>
          </w:p>
        </w:tc>
        <w:tc>
          <w:tcPr>
            <w:tcW w:type="dxa" w:w="4320"/>
            <w:shd w:val="clear" w:color="auto" w:fill="F2F2F2"/>
            <w:tcBorders>
              <w:top w:val="single" w:sz="4" w:space="0" w:color="CCCCCC"/>
              <w:left w:val="single" w:sz="4" w:space="0" w:color="CCCCCC"/>
              <w:bottom w:val="single" w:sz="4" w:space="0" w:color="CCCCCC"/>
              <w:insideH w:val="single" w:sz="4" w:space="0" w:color="CCCCCC"/>
              <w:insideV w:val="single" w:sz="4" w:space="0" w:color="CCCCCC"/>
              <w:right w:val="single" w:sz="10" w:space="0" w:color="6B1D1D"/>
            </w:tcBorders>
          </w:tcPr>
          <w:p>
            <w:pPr>
              <w:spacing w:before="80" w:after="80"/>
              <w:jc w:val="left"/>
            </w:pPr>
            <w:r>
              <w:rPr>
                <w:rFonts w:ascii="Times New Roman" w:hAnsi="Times New Roman"/>
                <w:b w:val="0"/>
                <w:i w:val="0"/>
                <w:color w:val="333333"/>
                <w:sz w:val="21"/>
              </w:rPr>
              <w:t>Standing Seam Metal</w:t>
            </w:r>
          </w:p>
        </w:tc>
      </w:tr>
      <w:tr>
        <w:tc>
          <w:tcPr>
            <w:tcW w:type="dxa" w:w="4320"/>
            <w:tcBorders>
              <w:top w:val="single" w:sz="4" w:space="0" w:color="CCCCCC"/>
              <w:bottom w:val="single" w:sz="4" w:space="0" w:color="CCCCCC"/>
              <w:right w:val="single" w:sz="4" w:space="0" w:color="CCCCCC"/>
              <w:insideH w:val="single" w:sz="4" w:space="0" w:color="CCCCCC"/>
              <w:insideV w:val="single" w:sz="4" w:space="0" w:color="CCCCCC"/>
              <w:left w:val="single" w:sz="10" w:space="0" w:color="6B1D1D"/>
            </w:tcBorders>
          </w:tcPr>
          <w:p>
            <w:pPr>
              <w:spacing w:before="80" w:after="80"/>
              <w:jc w:val="left"/>
            </w:pPr>
            <w:r>
              <w:rPr>
                <w:rFonts w:ascii="Times New Roman" w:hAnsi="Times New Roman"/>
                <w:b/>
                <w:i w:val="0"/>
                <w:color w:val="1B2A4A"/>
                <w:sz w:val="21"/>
              </w:rPr>
              <w:t>Exterior Walls</w:t>
            </w:r>
          </w:p>
        </w:tc>
        <w:tc>
          <w:tcPr>
            <w:tcW w:type="dxa" w:w="4320"/>
            <w:tcBorders>
              <w:top w:val="single" w:sz="4" w:space="0" w:color="CCCCCC"/>
              <w:left w:val="single" w:sz="4" w:space="0" w:color="CCCCCC"/>
              <w:bottom w:val="single" w:sz="4" w:space="0" w:color="CCCCCC"/>
              <w:insideH w:val="single" w:sz="4" w:space="0" w:color="CCCCCC"/>
              <w:insideV w:val="single" w:sz="4" w:space="0" w:color="CCCCCC"/>
              <w:right w:val="single" w:sz="10" w:space="0" w:color="6B1D1D"/>
            </w:tcBorders>
          </w:tcPr>
          <w:p>
            <w:pPr>
              <w:spacing w:before="80" w:after="80"/>
              <w:jc w:val="left"/>
            </w:pPr>
            <w:r>
              <w:rPr>
                <w:rFonts w:ascii="Times New Roman" w:hAnsi="Times New Roman"/>
                <w:b w:val="0"/>
                <w:i w:val="0"/>
                <w:color w:val="333333"/>
                <w:sz w:val="21"/>
              </w:rPr>
              <w:t>Steel Panel / Insulated Metal</w:t>
            </w:r>
          </w:p>
        </w:tc>
      </w:tr>
      <w:tr>
        <w:tc>
          <w:tcPr>
            <w:tcW w:type="dxa" w:w="4320"/>
            <w:shd w:val="clear" w:color="auto" w:fill="F2F2F2"/>
            <w:tcBorders>
              <w:top w:val="single" w:sz="4" w:space="0" w:color="CCCCCC"/>
              <w:bottom w:val="single" w:sz="4" w:space="0" w:color="CCCCCC"/>
              <w:right w:val="single" w:sz="4" w:space="0" w:color="CCCCCC"/>
              <w:insideH w:val="single" w:sz="4" w:space="0" w:color="CCCCCC"/>
              <w:insideV w:val="single" w:sz="4" w:space="0" w:color="CCCCCC"/>
              <w:left w:val="single" w:sz="10" w:space="0" w:color="6B1D1D"/>
            </w:tcBorders>
          </w:tcPr>
          <w:p>
            <w:pPr>
              <w:spacing w:before="80" w:after="80"/>
              <w:jc w:val="left"/>
            </w:pPr>
            <w:r>
              <w:rPr>
                <w:rFonts w:ascii="Times New Roman" w:hAnsi="Times New Roman"/>
                <w:b/>
                <w:i w:val="0"/>
                <w:color w:val="1B2A4A"/>
                <w:sz w:val="21"/>
              </w:rPr>
              <w:t>Foundation</w:t>
            </w:r>
          </w:p>
        </w:tc>
        <w:tc>
          <w:tcPr>
            <w:tcW w:type="dxa" w:w="4320"/>
            <w:shd w:val="clear" w:color="auto" w:fill="F2F2F2"/>
            <w:tcBorders>
              <w:top w:val="single" w:sz="4" w:space="0" w:color="CCCCCC"/>
              <w:left w:val="single" w:sz="4" w:space="0" w:color="CCCCCC"/>
              <w:bottom w:val="single" w:sz="4" w:space="0" w:color="CCCCCC"/>
              <w:insideH w:val="single" w:sz="4" w:space="0" w:color="CCCCCC"/>
              <w:insideV w:val="single" w:sz="4" w:space="0" w:color="CCCCCC"/>
              <w:right w:val="single" w:sz="10" w:space="0" w:color="6B1D1D"/>
            </w:tcBorders>
          </w:tcPr>
          <w:p>
            <w:pPr>
              <w:spacing w:before="80" w:after="80"/>
              <w:jc w:val="left"/>
            </w:pPr>
            <w:r>
              <w:rPr>
                <w:rFonts w:ascii="Times New Roman" w:hAnsi="Times New Roman"/>
                <w:b w:val="0"/>
                <w:i w:val="0"/>
                <w:color w:val="333333"/>
                <w:sz w:val="21"/>
              </w:rPr>
              <w:t>Concrete Slab-on-Grade</w:t>
            </w:r>
          </w:p>
        </w:tc>
      </w:tr>
      <w:tr>
        <w:tc>
          <w:tcPr>
            <w:tcW w:type="dxa" w:w="8640"/>
            <w:gridSpan w:val="2"/>
            <w:shd w:val="clear" w:color="auto" w:fill="1B2A4A"/>
            <w:tcBorders>
              <w:top w:val="single" w:sz="4" w:space="0" w:color="CCCCCC"/>
              <w:bottom w:val="single" w:sz="4" w:space="0" w:color="CCCCCC"/>
              <w:insideH w:val="single" w:sz="4" w:space="0" w:color="CCCCCC"/>
              <w:insideV w:val="single" w:sz="4" w:space="0" w:color="CCCCCC"/>
              <w:left w:val="single" w:sz="10" w:space="0" w:color="6B1D1D"/>
              <w:right w:val="single" w:sz="10" w:space="0" w:color="6B1D1D"/>
            </w:tcBorders>
          </w:tcPr>
          <w:p>
            <w:pPr>
              <w:spacing w:before="100" w:after="100"/>
              <w:jc w:val="left"/>
            </w:pPr>
            <w:r>
              <w:rPr>
                <w:rFonts w:ascii="Times New Roman" w:hAnsi="Times New Roman"/>
                <w:b/>
                <w:i w:val="0"/>
                <w:color w:val="FFFFFF"/>
                <w:sz w:val="21"/>
              </w:rPr>
              <w:t>PROTECTION &amp; OCCUPANCY</w:t>
            </w:r>
          </w:p>
        </w:tc>
      </w:tr>
      <w:tr>
        <w:tc>
          <w:tcPr>
            <w:tcW w:type="dxa" w:w="4320"/>
            <w:tcBorders>
              <w:top w:val="single" w:sz="4" w:space="0" w:color="CCCCCC"/>
              <w:bottom w:val="single" w:sz="4" w:space="0" w:color="CCCCCC"/>
              <w:right w:val="single" w:sz="4" w:space="0" w:color="CCCCCC"/>
              <w:insideH w:val="single" w:sz="4" w:space="0" w:color="CCCCCC"/>
              <w:insideV w:val="single" w:sz="4" w:space="0" w:color="CCCCCC"/>
              <w:left w:val="single" w:sz="10" w:space="0" w:color="6B1D1D"/>
            </w:tcBorders>
          </w:tcPr>
          <w:p>
            <w:pPr>
              <w:spacing w:before="80" w:after="80"/>
              <w:jc w:val="left"/>
            </w:pPr>
            <w:r>
              <w:rPr>
                <w:rFonts w:ascii="Times New Roman" w:hAnsi="Times New Roman"/>
                <w:b/>
                <w:i w:val="0"/>
                <w:color w:val="1B2A4A"/>
                <w:sz w:val="21"/>
              </w:rPr>
              <w:t>Fire Protection</w:t>
            </w:r>
          </w:p>
        </w:tc>
        <w:tc>
          <w:tcPr>
            <w:tcW w:type="dxa" w:w="4320"/>
            <w:tcBorders>
              <w:top w:val="single" w:sz="4" w:space="0" w:color="CCCCCC"/>
              <w:left w:val="single" w:sz="4" w:space="0" w:color="CCCCCC"/>
              <w:bottom w:val="single" w:sz="4" w:space="0" w:color="CCCCCC"/>
              <w:insideH w:val="single" w:sz="4" w:space="0" w:color="CCCCCC"/>
              <w:insideV w:val="single" w:sz="4" w:space="0" w:color="CCCCCC"/>
              <w:right w:val="single" w:sz="10" w:space="0" w:color="6B1D1D"/>
            </w:tcBorders>
          </w:tcPr>
          <w:p>
            <w:pPr>
              <w:spacing w:before="80" w:after="80"/>
              <w:jc w:val="left"/>
            </w:pPr>
            <w:r>
              <w:rPr>
                <w:rFonts w:ascii="Times New Roman" w:hAnsi="Times New Roman"/>
                <w:b w:val="0"/>
                <w:i w:val="0"/>
                <w:color w:val="333333"/>
                <w:sz w:val="21"/>
              </w:rPr>
              <w:t>ESFR Automatic Sprinkler System (100%)</w:t>
            </w:r>
          </w:p>
        </w:tc>
      </w:tr>
      <w:tr>
        <w:tc>
          <w:tcPr>
            <w:tcW w:type="dxa" w:w="4320"/>
            <w:shd w:val="clear" w:color="auto" w:fill="F2F2F2"/>
            <w:tcBorders>
              <w:top w:val="single" w:sz="4" w:space="0" w:color="CCCCCC"/>
              <w:bottom w:val="single" w:sz="4" w:space="0" w:color="CCCCCC"/>
              <w:right w:val="single" w:sz="4" w:space="0" w:color="CCCCCC"/>
              <w:insideH w:val="single" w:sz="4" w:space="0" w:color="CCCCCC"/>
              <w:insideV w:val="single" w:sz="4" w:space="0" w:color="CCCCCC"/>
              <w:left w:val="single" w:sz="10" w:space="0" w:color="6B1D1D"/>
            </w:tcBorders>
          </w:tcPr>
          <w:p>
            <w:pPr>
              <w:spacing w:before="80" w:after="80"/>
              <w:jc w:val="left"/>
            </w:pPr>
            <w:r>
              <w:rPr>
                <w:rFonts w:ascii="Times New Roman" w:hAnsi="Times New Roman"/>
                <w:b/>
                <w:i w:val="0"/>
                <w:color w:val="1B2A4A"/>
                <w:sz w:val="21"/>
              </w:rPr>
              <w:t>Occupancy Type</w:t>
            </w:r>
          </w:p>
        </w:tc>
        <w:tc>
          <w:tcPr>
            <w:tcW w:type="dxa" w:w="4320"/>
            <w:shd w:val="clear" w:color="auto" w:fill="F2F2F2"/>
            <w:tcBorders>
              <w:top w:val="single" w:sz="4" w:space="0" w:color="CCCCCC"/>
              <w:left w:val="single" w:sz="4" w:space="0" w:color="CCCCCC"/>
              <w:bottom w:val="single" w:sz="4" w:space="0" w:color="CCCCCC"/>
              <w:insideH w:val="single" w:sz="4" w:space="0" w:color="CCCCCC"/>
              <w:insideV w:val="single" w:sz="4" w:space="0" w:color="CCCCCC"/>
              <w:right w:val="single" w:sz="10" w:space="0" w:color="6B1D1D"/>
            </w:tcBorders>
          </w:tcPr>
          <w:p>
            <w:pPr>
              <w:spacing w:before="80" w:after="80"/>
              <w:jc w:val="left"/>
            </w:pPr>
            <w:r>
              <w:rPr>
                <w:rFonts w:ascii="Times New Roman" w:hAnsi="Times New Roman"/>
                <w:b w:val="0"/>
                <w:i w:val="0"/>
                <w:color w:val="333333"/>
                <w:sz w:val="21"/>
              </w:rPr>
              <w:t>100% Owner-Occupied</w:t>
            </w:r>
          </w:p>
        </w:tc>
      </w:tr>
      <w:tr>
        <w:tc>
          <w:tcPr>
            <w:tcW w:type="dxa" w:w="4320"/>
            <w:tcBorders>
              <w:top w:val="single" w:sz="4" w:space="0" w:color="CCCCCC"/>
              <w:bottom w:val="single" w:sz="4" w:space="0" w:color="CCCCCC"/>
              <w:right w:val="single" w:sz="4" w:space="0" w:color="CCCCCC"/>
              <w:insideH w:val="single" w:sz="4" w:space="0" w:color="CCCCCC"/>
              <w:insideV w:val="single" w:sz="4" w:space="0" w:color="CCCCCC"/>
              <w:left w:val="single" w:sz="10" w:space="0" w:color="6B1D1D"/>
            </w:tcBorders>
          </w:tcPr>
          <w:p>
            <w:pPr>
              <w:spacing w:before="80" w:after="80"/>
              <w:jc w:val="left"/>
            </w:pPr>
            <w:r>
              <w:rPr>
                <w:rFonts w:ascii="Times New Roman" w:hAnsi="Times New Roman"/>
                <w:b/>
                <w:i w:val="0"/>
                <w:color w:val="1B2A4A"/>
                <w:sz w:val="21"/>
              </w:rPr>
              <w:t>Tenant</w:t>
            </w:r>
          </w:p>
        </w:tc>
        <w:tc>
          <w:tcPr>
            <w:tcW w:type="dxa" w:w="4320"/>
            <w:tcBorders>
              <w:top w:val="single" w:sz="4" w:space="0" w:color="CCCCCC"/>
              <w:left w:val="single" w:sz="4" w:space="0" w:color="CCCCCC"/>
              <w:bottom w:val="single" w:sz="4" w:space="0" w:color="CCCCCC"/>
              <w:insideH w:val="single" w:sz="4" w:space="0" w:color="CCCCCC"/>
              <w:insideV w:val="single" w:sz="4" w:space="0" w:color="CCCCCC"/>
              <w:right w:val="single" w:sz="10" w:space="0" w:color="6B1D1D"/>
            </w:tcBorders>
          </w:tcPr>
          <w:p>
            <w:pPr>
              <w:spacing w:before="80" w:after="80"/>
              <w:jc w:val="left"/>
            </w:pPr>
            <w:r>
              <w:rPr>
                <w:rFonts w:ascii="Times New Roman" w:hAnsi="Times New Roman"/>
                <w:b w:val="0"/>
                <w:i w:val="0"/>
                <w:color w:val="333333"/>
                <w:sz w:val="21"/>
              </w:rPr>
              <w:t>Lone Star Distribution LLC</w:t>
            </w:r>
          </w:p>
        </w:tc>
      </w:tr>
      <w:tr>
        <w:tc>
          <w:tcPr>
            <w:tcW w:type="dxa" w:w="8640"/>
            <w:gridSpan w:val="2"/>
            <w:shd w:val="clear" w:color="auto" w:fill="1B2A4A"/>
            <w:tcBorders>
              <w:top w:val="single" w:sz="4" w:space="0" w:color="CCCCCC"/>
              <w:bottom w:val="single" w:sz="4" w:space="0" w:color="CCCCCC"/>
              <w:insideH w:val="single" w:sz="4" w:space="0" w:color="CCCCCC"/>
              <w:insideV w:val="single" w:sz="4" w:space="0" w:color="CCCCCC"/>
              <w:left w:val="single" w:sz="10" w:space="0" w:color="6B1D1D"/>
              <w:right w:val="single" w:sz="10" w:space="0" w:color="6B1D1D"/>
            </w:tcBorders>
          </w:tcPr>
          <w:p>
            <w:pPr>
              <w:spacing w:before="100" w:after="100"/>
              <w:jc w:val="left"/>
            </w:pPr>
            <w:r>
              <w:rPr>
                <w:rFonts w:ascii="Times New Roman" w:hAnsi="Times New Roman"/>
                <w:b/>
                <w:i w:val="0"/>
                <w:color w:val="FFFFFF"/>
                <w:sz w:val="21"/>
              </w:rPr>
              <w:t>VALUATION</w:t>
            </w:r>
          </w:p>
        </w:tc>
      </w:tr>
      <w:tr>
        <w:tc>
          <w:tcPr>
            <w:tcW w:type="dxa" w:w="4320"/>
            <w:tcBorders>
              <w:top w:val="single" w:sz="4" w:space="0" w:color="CCCCCC"/>
              <w:bottom w:val="single" w:sz="4" w:space="0" w:color="CCCCCC"/>
              <w:right w:val="single" w:sz="4" w:space="0" w:color="CCCCCC"/>
              <w:insideH w:val="single" w:sz="4" w:space="0" w:color="CCCCCC"/>
              <w:insideV w:val="single" w:sz="4" w:space="0" w:color="CCCCCC"/>
              <w:left w:val="single" w:sz="10" w:space="0" w:color="6B1D1D"/>
            </w:tcBorders>
          </w:tcPr>
          <w:p>
            <w:pPr>
              <w:spacing w:before="80" w:after="80"/>
              <w:jc w:val="left"/>
            </w:pPr>
            <w:r>
              <w:rPr>
                <w:rFonts w:ascii="Times New Roman" w:hAnsi="Times New Roman"/>
                <w:b/>
                <w:i w:val="0"/>
                <w:color w:val="1B2A4A"/>
                <w:sz w:val="21"/>
              </w:rPr>
              <w:t>Insured Value — Building</w:t>
            </w:r>
          </w:p>
        </w:tc>
        <w:tc>
          <w:tcPr>
            <w:tcW w:type="dxa" w:w="4320"/>
            <w:tcBorders>
              <w:top w:val="single" w:sz="4" w:space="0" w:color="CCCCCC"/>
              <w:left w:val="single" w:sz="4" w:space="0" w:color="CCCCCC"/>
              <w:bottom w:val="single" w:sz="4" w:space="0" w:color="CCCCCC"/>
              <w:insideH w:val="single" w:sz="4" w:space="0" w:color="CCCCCC"/>
              <w:insideV w:val="single" w:sz="4" w:space="0" w:color="CCCCCC"/>
              <w:right w:val="single" w:sz="10" w:space="0" w:color="6B1D1D"/>
            </w:tcBorders>
          </w:tcPr>
          <w:p>
            <w:pPr>
              <w:spacing w:before="80" w:after="80"/>
              <w:jc w:val="left"/>
            </w:pPr>
            <w:r>
              <w:rPr>
                <w:rFonts w:ascii="Times New Roman" w:hAnsi="Times New Roman"/>
                <w:b w:val="0"/>
                <w:i w:val="0"/>
                <w:color w:val="333333"/>
                <w:sz w:val="21"/>
              </w:rPr>
              <w:t>$15,000,000</w:t>
            </w:r>
          </w:p>
        </w:tc>
      </w:tr>
      <w:tr>
        <w:tc>
          <w:tcPr>
            <w:tcW w:type="dxa" w:w="4320"/>
            <w:shd w:val="clear" w:color="auto" w:fill="F2F2F2"/>
            <w:tcBorders>
              <w:top w:val="single" w:sz="4" w:space="0" w:color="CCCCCC"/>
              <w:right w:val="single" w:sz="4" w:space="0" w:color="CCCCCC"/>
              <w:insideH w:val="single" w:sz="4" w:space="0" w:color="CCCCCC"/>
              <w:insideV w:val="single" w:sz="4" w:space="0" w:color="CCCCCC"/>
              <w:bottom w:val="single" w:sz="10" w:space="0" w:color="6B1D1D"/>
              <w:left w:val="single" w:sz="10" w:space="0" w:color="6B1D1D"/>
            </w:tcBorders>
          </w:tcPr>
          <w:p>
            <w:pPr>
              <w:spacing w:before="80" w:after="80"/>
              <w:jc w:val="left"/>
            </w:pPr>
            <w:r>
              <w:rPr>
                <w:rFonts w:ascii="Times New Roman" w:hAnsi="Times New Roman"/>
                <w:b/>
                <w:i w:val="0"/>
                <w:color w:val="1B2A4A"/>
                <w:sz w:val="21"/>
              </w:rPr>
              <w:t>Valuation Basis</w:t>
            </w:r>
          </w:p>
        </w:tc>
        <w:tc>
          <w:tcPr>
            <w:tcW w:type="dxa" w:w="4320"/>
            <w:shd w:val="clear" w:color="auto" w:fill="F2F2F2"/>
            <w:tcBorders>
              <w:top w:val="single" w:sz="4" w:space="0" w:color="CCCCCC"/>
              <w:left w:val="single" w:sz="4" w:space="0" w:color="CCCCCC"/>
              <w:insideH w:val="single" w:sz="4" w:space="0" w:color="CCCCCC"/>
              <w:insideV w:val="single" w:sz="4" w:space="0" w:color="CCCCCC"/>
              <w:bottom w:val="single" w:sz="10" w:space="0" w:color="6B1D1D"/>
              <w:right w:val="single" w:sz="10" w:space="0" w:color="6B1D1D"/>
            </w:tcBorders>
          </w:tcPr>
          <w:p>
            <w:pPr>
              <w:spacing w:before="80" w:after="80"/>
              <w:jc w:val="left"/>
            </w:pPr>
            <w:r>
              <w:rPr>
                <w:rFonts w:ascii="Times New Roman" w:hAnsi="Times New Roman"/>
                <w:b w:val="0"/>
                <w:i w:val="0"/>
                <w:color w:val="333333"/>
                <w:sz w:val="21"/>
              </w:rPr>
              <w:t>Actual Cash Value (ACV)</w:t>
            </w:r>
          </w:p>
        </w:tc>
      </w:tr>
    </w:tbl>
    <w:p>
      <w:pPr>
        <w:spacing w:before="0" w:after="0"/>
        <w:jc w:val="left"/>
      </w:pPr>
      <w:r>
        <w:br w:type="page"/>
      </w:r>
    </w:p>
    <w:p>
      <w:pPr>
        <w:spacing w:before="0" w:after="0"/>
        <w:jc w:val="left"/>
      </w:pPr>
      <w:sectPr>
        <w:type w:val="nextPage"/>
      </w:sectPr>
    </w:p>
    <w:p>
      <w:pPr>
        <w:spacing w:before="200" w:after="80"/>
        <w:jc w:val="center"/>
        <w:pBdr>
          <w:bottom w:val="single" w:sz="6" w:space="0" w:color="6B1D1D"/>
        </w:pBdr>
      </w:pPr>
      <w:r>
        <w:rPr>
          <w:rFonts w:ascii="Times New Roman" w:hAnsi="Times New Roman"/>
          <w:b/>
          <w:i w:val="0"/>
          <w:color w:val="6B1D1D"/>
          <w:sz w:val="28"/>
        </w:rPr>
        <w:t>COVERAGE SCHEDULE</w:t>
      </w:r>
    </w:p>
    <w:p>
      <w:pPr>
        <w:spacing w:before="40" w:after="200"/>
        <w:jc w:val="center"/>
      </w:pPr>
      <w:r>
        <w:rPr>
          <w:rFonts w:ascii="Times New Roman" w:hAnsi="Times New Roman"/>
          <w:b w:val="0"/>
          <w:i/>
          <w:color w:val="1B2A4A"/>
          <w:sz w:val="20"/>
        </w:rPr>
        <w:t>Policy Period: May 1, 2026 to May 1, 2027   |   Quote #HTFRD-2026-QT-1174-W</w:t>
      </w:r>
    </w:p>
    <w:tbl>
      <w:tblPr>
        <w:tblW w:type="auto" w:w="0"/>
        <w:jc w:val="center"/>
        <w:tblLook w:firstColumn="1" w:firstRow="1" w:lastColumn="0" w:lastRow="0" w:noHBand="0" w:noVBand="1" w:val="04A0"/>
      </w:tblPr>
      <w:tblGrid>
        <w:gridCol w:w="3600"/>
        <w:gridCol w:w="2232"/>
        <w:gridCol w:w="2016"/>
        <w:gridCol w:w="2232"/>
      </w:tblGrid>
      <w:tr>
        <w:tc>
          <w:tcPr>
            <w:tcW w:type="dxa" w:w="2160"/>
            <w:shd w:val="clear" w:color="auto" w:fill="6B1D1D"/>
            <w:tcBorders>
              <w:bottom w:val="single" w:sz="4" w:space="0" w:color="BBBBBB"/>
              <w:right w:val="single" w:sz="4" w:space="0" w:color="BBBBBB"/>
              <w:insideH w:val="single" w:sz="4" w:space="0" w:color="BBBBBB"/>
              <w:insideV w:val="single" w:sz="4" w:space="0" w:color="BBBBBB"/>
              <w:top w:val="single" w:sz="10" w:space="0" w:color="6B1D1D"/>
              <w:left w:val="single" w:sz="10" w:space="0" w:color="6B1D1D"/>
            </w:tcBorders>
          </w:tcPr>
          <w:p>
            <w:pPr>
              <w:spacing w:before="120" w:after="120"/>
              <w:jc w:val="center"/>
            </w:pPr>
            <w:r>
              <w:rPr>
                <w:rFonts w:ascii="Times New Roman" w:hAnsi="Times New Roman"/>
                <w:b/>
                <w:i w:val="0"/>
                <w:color w:val="FFFFFF"/>
                <w:sz w:val="21"/>
              </w:rPr>
              <w:t>Line of Coverage</w:t>
            </w:r>
          </w:p>
        </w:tc>
        <w:tc>
          <w:tcPr>
            <w:tcW w:type="dxa" w:w="2160"/>
            <w:shd w:val="clear" w:color="auto" w:fill="6B1D1D"/>
            <w:tcBorders>
              <w:left w:val="single" w:sz="4" w:space="0" w:color="BBBBBB"/>
              <w:bottom w:val="single" w:sz="4" w:space="0" w:color="BBBBBB"/>
              <w:right w:val="single" w:sz="4" w:space="0" w:color="BBBBBB"/>
              <w:insideH w:val="single" w:sz="4" w:space="0" w:color="BBBBBB"/>
              <w:insideV w:val="single" w:sz="4" w:space="0" w:color="BBBBBB"/>
              <w:top w:val="single" w:sz="10" w:space="0" w:color="6B1D1D"/>
            </w:tcBorders>
          </w:tcPr>
          <w:p>
            <w:pPr>
              <w:spacing w:before="120" w:after="120"/>
              <w:jc w:val="center"/>
            </w:pPr>
            <w:r>
              <w:rPr>
                <w:rFonts w:ascii="Times New Roman" w:hAnsi="Times New Roman"/>
                <w:b/>
                <w:i w:val="0"/>
                <w:color w:val="FFFFFF"/>
                <w:sz w:val="21"/>
              </w:rPr>
              <w:t>Limit of Insurance</w:t>
            </w:r>
          </w:p>
        </w:tc>
        <w:tc>
          <w:tcPr>
            <w:tcW w:type="dxa" w:w="2160"/>
            <w:shd w:val="clear" w:color="auto" w:fill="6B1D1D"/>
            <w:tcBorders>
              <w:left w:val="single" w:sz="4" w:space="0" w:color="BBBBBB"/>
              <w:bottom w:val="single" w:sz="4" w:space="0" w:color="BBBBBB"/>
              <w:right w:val="single" w:sz="4" w:space="0" w:color="BBBBBB"/>
              <w:insideH w:val="single" w:sz="4" w:space="0" w:color="BBBBBB"/>
              <w:insideV w:val="single" w:sz="4" w:space="0" w:color="BBBBBB"/>
              <w:top w:val="single" w:sz="10" w:space="0" w:color="6B1D1D"/>
            </w:tcBorders>
          </w:tcPr>
          <w:p>
            <w:pPr>
              <w:spacing w:before="120" w:after="120"/>
              <w:jc w:val="center"/>
            </w:pPr>
            <w:r>
              <w:rPr>
                <w:rFonts w:ascii="Times New Roman" w:hAnsi="Times New Roman"/>
                <w:b/>
                <w:i w:val="0"/>
                <w:color w:val="FFFFFF"/>
                <w:sz w:val="21"/>
              </w:rPr>
              <w:t>Valuation</w:t>
            </w:r>
          </w:p>
        </w:tc>
        <w:tc>
          <w:tcPr>
            <w:tcW w:type="dxa" w:w="2160"/>
            <w:shd w:val="clear" w:color="auto" w:fill="6B1D1D"/>
            <w:tcBorders>
              <w:left w:val="single" w:sz="4" w:space="0" w:color="BBBBBB"/>
              <w:bottom w:val="single" w:sz="4" w:space="0" w:color="BBBBBB"/>
              <w:insideH w:val="single" w:sz="4" w:space="0" w:color="BBBBBB"/>
              <w:insideV w:val="single" w:sz="4" w:space="0" w:color="BBBBBB"/>
              <w:top w:val="single" w:sz="10" w:space="0" w:color="6B1D1D"/>
              <w:right w:val="single" w:sz="10" w:space="0" w:color="6B1D1D"/>
            </w:tcBorders>
          </w:tcPr>
          <w:p>
            <w:pPr>
              <w:spacing w:before="120" w:after="120"/>
              <w:jc w:val="center"/>
            </w:pPr>
            <w:r>
              <w:rPr>
                <w:rFonts w:ascii="Times New Roman" w:hAnsi="Times New Roman"/>
                <w:b/>
                <w:i w:val="0"/>
                <w:color w:val="FFFFFF"/>
                <w:sz w:val="21"/>
              </w:rPr>
              <w:t>Form</w:t>
            </w:r>
          </w:p>
        </w:tc>
      </w:tr>
      <w:tr>
        <w:tc>
          <w:tcPr>
            <w:tcW w:type="dxa" w:w="2160"/>
            <w:tcBorders>
              <w:top w:val="single" w:sz="4" w:space="0" w:color="BBBBBB"/>
              <w:bottom w:val="single" w:sz="4" w:space="0" w:color="BBBBBB"/>
              <w:right w:val="single" w:sz="4" w:space="0" w:color="BBBBBB"/>
              <w:insideH w:val="single" w:sz="4" w:space="0" w:color="BBBBBB"/>
              <w:insideV w:val="single" w:sz="4" w:space="0" w:color="BBBBBB"/>
              <w:left w:val="single" w:sz="10" w:space="0" w:color="6B1D1D"/>
            </w:tcBorders>
          </w:tcPr>
          <w:p>
            <w:pPr>
              <w:spacing w:before="80" w:after="80"/>
              <w:jc w:val="left"/>
            </w:pPr>
            <w:r>
              <w:rPr>
                <w:rFonts w:ascii="Times New Roman" w:hAnsi="Times New Roman"/>
                <w:b w:val="0"/>
                <w:i w:val="0"/>
                <w:color w:val="333333"/>
                <w:sz w:val="21"/>
              </w:rPr>
              <w:t>Building</w:t>
            </w:r>
          </w:p>
        </w:tc>
        <w:tc>
          <w:tcPr>
            <w:tcW w:type="dxa" w:w="2160"/>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spacing w:before="80" w:after="80"/>
              <w:jc w:val="center"/>
            </w:pPr>
            <w:r>
              <w:rPr>
                <w:rFonts w:ascii="Times New Roman" w:hAnsi="Times New Roman"/>
                <w:b w:val="0"/>
                <w:i w:val="0"/>
                <w:color w:val="333333"/>
                <w:sz w:val="21"/>
              </w:rPr>
              <w:t>$15,000,000</w:t>
            </w:r>
          </w:p>
        </w:tc>
        <w:tc>
          <w:tcPr>
            <w:tcW w:type="dxa" w:w="2160"/>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spacing w:before="80" w:after="80"/>
              <w:jc w:val="center"/>
            </w:pPr>
            <w:r>
              <w:rPr>
                <w:rFonts w:ascii="Times New Roman" w:hAnsi="Times New Roman"/>
                <w:b w:val="0"/>
                <w:i w:val="0"/>
                <w:color w:val="333333"/>
                <w:sz w:val="21"/>
              </w:rPr>
              <w:t>Actual Cash Value</w:t>
            </w:r>
          </w:p>
        </w:tc>
        <w:tc>
          <w:tcPr>
            <w:tcW w:type="dxa" w:w="2160"/>
            <w:tcBorders>
              <w:top w:val="single" w:sz="4" w:space="0" w:color="BBBBBB"/>
              <w:left w:val="single" w:sz="4" w:space="0" w:color="BBBBBB"/>
              <w:bottom w:val="single" w:sz="4" w:space="0" w:color="BBBBBB"/>
              <w:insideH w:val="single" w:sz="4" w:space="0" w:color="BBBBBB"/>
              <w:insideV w:val="single" w:sz="4" w:space="0" w:color="BBBBBB"/>
              <w:right w:val="single" w:sz="10" w:space="0" w:color="6B1D1D"/>
            </w:tcBorders>
          </w:tcPr>
          <w:p>
            <w:pPr>
              <w:spacing w:before="80" w:after="80"/>
              <w:jc w:val="center"/>
            </w:pPr>
            <w:r>
              <w:rPr>
                <w:rFonts w:ascii="Times New Roman" w:hAnsi="Times New Roman"/>
                <w:b w:val="0"/>
                <w:i w:val="0"/>
                <w:color w:val="333333"/>
                <w:sz w:val="21"/>
              </w:rPr>
              <w:t>CP 10 20 (Broad Form)</w:t>
            </w:r>
          </w:p>
        </w:tc>
      </w:tr>
      <w:tr>
        <w:tc>
          <w:tcPr>
            <w:tcW w:type="dxa" w:w="2160"/>
            <w:shd w:val="clear" w:color="auto" w:fill="F2F2F2"/>
            <w:tcBorders>
              <w:top w:val="single" w:sz="4" w:space="0" w:color="BBBBBB"/>
              <w:bottom w:val="single" w:sz="4" w:space="0" w:color="BBBBBB"/>
              <w:right w:val="single" w:sz="4" w:space="0" w:color="BBBBBB"/>
              <w:insideH w:val="single" w:sz="4" w:space="0" w:color="BBBBBB"/>
              <w:insideV w:val="single" w:sz="4" w:space="0" w:color="BBBBBB"/>
              <w:left w:val="single" w:sz="10" w:space="0" w:color="6B1D1D"/>
            </w:tcBorders>
          </w:tcPr>
          <w:p>
            <w:pPr>
              <w:spacing w:before="80" w:after="80"/>
              <w:jc w:val="left"/>
            </w:pPr>
            <w:r>
              <w:rPr>
                <w:rFonts w:ascii="Times New Roman" w:hAnsi="Times New Roman"/>
                <w:b w:val="0"/>
                <w:i w:val="0"/>
                <w:color w:val="333333"/>
                <w:sz w:val="21"/>
              </w:rPr>
              <w:t>Business Personal Property</w:t>
            </w:r>
          </w:p>
        </w:tc>
        <w:tc>
          <w:tcPr>
            <w:tcW w:type="dxa" w:w="2160"/>
            <w:shd w:val="clear" w:color="auto" w:fill="F2F2F2"/>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spacing w:before="80" w:after="80"/>
              <w:jc w:val="center"/>
            </w:pPr>
            <w:r>
              <w:rPr>
                <w:rFonts w:ascii="Times New Roman" w:hAnsi="Times New Roman"/>
                <w:b w:val="0"/>
                <w:i w:val="0"/>
                <w:color w:val="333333"/>
                <w:sz w:val="21"/>
              </w:rPr>
              <w:t>$1,500,000</w:t>
            </w:r>
          </w:p>
        </w:tc>
        <w:tc>
          <w:tcPr>
            <w:tcW w:type="dxa" w:w="2160"/>
            <w:shd w:val="clear" w:color="auto" w:fill="F2F2F2"/>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spacing w:before="80" w:after="80"/>
              <w:jc w:val="center"/>
            </w:pPr>
            <w:r>
              <w:rPr>
                <w:rFonts w:ascii="Times New Roman" w:hAnsi="Times New Roman"/>
                <w:b w:val="0"/>
                <w:i w:val="0"/>
                <w:color w:val="333333"/>
                <w:sz w:val="21"/>
              </w:rPr>
              <w:t>ACV</w:t>
            </w:r>
          </w:p>
        </w:tc>
        <w:tc>
          <w:tcPr>
            <w:tcW w:type="dxa" w:w="2160"/>
            <w:shd w:val="clear" w:color="auto" w:fill="F2F2F2"/>
            <w:tcBorders>
              <w:top w:val="single" w:sz="4" w:space="0" w:color="BBBBBB"/>
              <w:left w:val="single" w:sz="4" w:space="0" w:color="BBBBBB"/>
              <w:bottom w:val="single" w:sz="4" w:space="0" w:color="BBBBBB"/>
              <w:insideH w:val="single" w:sz="4" w:space="0" w:color="BBBBBB"/>
              <w:insideV w:val="single" w:sz="4" w:space="0" w:color="BBBBBB"/>
              <w:right w:val="single" w:sz="10" w:space="0" w:color="6B1D1D"/>
            </w:tcBorders>
          </w:tcPr>
          <w:p>
            <w:pPr>
              <w:spacing w:before="80" w:after="80"/>
              <w:jc w:val="center"/>
            </w:pPr>
            <w:r>
              <w:rPr>
                <w:rFonts w:ascii="Times New Roman" w:hAnsi="Times New Roman"/>
                <w:b w:val="0"/>
                <w:i w:val="0"/>
                <w:color w:val="333333"/>
                <w:sz w:val="21"/>
              </w:rPr>
              <w:t>CP 10 20</w:t>
            </w:r>
          </w:p>
        </w:tc>
      </w:tr>
      <w:tr>
        <w:tc>
          <w:tcPr>
            <w:tcW w:type="dxa" w:w="2160"/>
            <w:tcBorders>
              <w:top w:val="single" w:sz="4" w:space="0" w:color="BBBBBB"/>
              <w:bottom w:val="single" w:sz="4" w:space="0" w:color="BBBBBB"/>
              <w:right w:val="single" w:sz="4" w:space="0" w:color="BBBBBB"/>
              <w:insideH w:val="single" w:sz="4" w:space="0" w:color="BBBBBB"/>
              <w:insideV w:val="single" w:sz="4" w:space="0" w:color="BBBBBB"/>
              <w:left w:val="single" w:sz="10" w:space="0" w:color="6B1D1D"/>
            </w:tcBorders>
          </w:tcPr>
          <w:p>
            <w:pPr>
              <w:spacing w:before="80" w:after="80"/>
              <w:jc w:val="left"/>
            </w:pPr>
            <w:r>
              <w:rPr>
                <w:rFonts w:ascii="Times New Roman" w:hAnsi="Times New Roman"/>
                <w:b w:val="0"/>
                <w:i w:val="0"/>
                <w:color w:val="333333"/>
                <w:sz w:val="21"/>
              </w:rPr>
              <w:t>Business Income / Extra Expense</w:t>
            </w:r>
          </w:p>
        </w:tc>
        <w:tc>
          <w:tcPr>
            <w:tcW w:type="dxa" w:w="2160"/>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spacing w:before="80" w:after="80"/>
              <w:jc w:val="center"/>
            </w:pPr>
            <w:r>
              <w:rPr>
                <w:rFonts w:ascii="Times New Roman" w:hAnsi="Times New Roman"/>
                <w:b w:val="0"/>
                <w:i w:val="0"/>
                <w:color w:val="333333"/>
                <w:sz w:val="21"/>
              </w:rPr>
              <w:t>$1,000,000</w:t>
            </w:r>
          </w:p>
        </w:tc>
        <w:tc>
          <w:tcPr>
            <w:tcW w:type="dxa" w:w="2160"/>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spacing w:before="80" w:after="80"/>
              <w:jc w:val="center"/>
            </w:pPr>
            <w:r>
              <w:rPr>
                <w:rFonts w:ascii="Times New Roman" w:hAnsi="Times New Roman"/>
                <w:b w:val="0"/>
                <w:i w:val="0"/>
                <w:color w:val="333333"/>
                <w:sz w:val="21"/>
              </w:rPr>
              <w:t>12-Month ALS</w:t>
            </w:r>
          </w:p>
        </w:tc>
        <w:tc>
          <w:tcPr>
            <w:tcW w:type="dxa" w:w="2160"/>
            <w:tcBorders>
              <w:top w:val="single" w:sz="4" w:space="0" w:color="BBBBBB"/>
              <w:left w:val="single" w:sz="4" w:space="0" w:color="BBBBBB"/>
              <w:bottom w:val="single" w:sz="4" w:space="0" w:color="BBBBBB"/>
              <w:insideH w:val="single" w:sz="4" w:space="0" w:color="BBBBBB"/>
              <w:insideV w:val="single" w:sz="4" w:space="0" w:color="BBBBBB"/>
              <w:right w:val="single" w:sz="10" w:space="0" w:color="6B1D1D"/>
            </w:tcBorders>
          </w:tcPr>
          <w:p>
            <w:pPr>
              <w:spacing w:before="80" w:after="80"/>
              <w:jc w:val="center"/>
            </w:pPr>
            <w:r>
              <w:rPr>
                <w:rFonts w:ascii="Times New Roman" w:hAnsi="Times New Roman"/>
                <w:b w:val="0"/>
                <w:i w:val="0"/>
                <w:color w:val="333333"/>
                <w:sz w:val="21"/>
              </w:rPr>
              <w:t>CP 00 30</w:t>
            </w:r>
          </w:p>
        </w:tc>
      </w:tr>
      <w:tr>
        <w:tc>
          <w:tcPr>
            <w:tcW w:type="dxa" w:w="2160"/>
            <w:shd w:val="clear" w:color="auto" w:fill="F2F2F2"/>
            <w:tcBorders>
              <w:top w:val="single" w:sz="4" w:space="0" w:color="BBBBBB"/>
              <w:bottom w:val="single" w:sz="4" w:space="0" w:color="BBBBBB"/>
              <w:right w:val="single" w:sz="4" w:space="0" w:color="BBBBBB"/>
              <w:insideH w:val="single" w:sz="4" w:space="0" w:color="BBBBBB"/>
              <w:insideV w:val="single" w:sz="4" w:space="0" w:color="BBBBBB"/>
              <w:left w:val="single" w:sz="10" w:space="0" w:color="6B1D1D"/>
            </w:tcBorders>
          </w:tcPr>
          <w:p>
            <w:pPr>
              <w:spacing w:before="80" w:after="80"/>
              <w:jc w:val="left"/>
            </w:pPr>
            <w:r>
              <w:rPr>
                <w:rFonts w:ascii="Times New Roman" w:hAnsi="Times New Roman"/>
                <w:b w:val="0"/>
                <w:i w:val="0"/>
                <w:color w:val="333333"/>
                <w:sz w:val="21"/>
              </w:rPr>
              <w:t>General Liability (Per Occ.)</w:t>
            </w:r>
          </w:p>
        </w:tc>
        <w:tc>
          <w:tcPr>
            <w:tcW w:type="dxa" w:w="2160"/>
            <w:shd w:val="clear" w:color="auto" w:fill="F2F2F2"/>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spacing w:before="80" w:after="80"/>
              <w:jc w:val="center"/>
            </w:pPr>
            <w:r>
              <w:rPr>
                <w:rFonts w:ascii="Times New Roman" w:hAnsi="Times New Roman"/>
                <w:b w:val="0"/>
                <w:i w:val="0"/>
                <w:color w:val="333333"/>
                <w:sz w:val="21"/>
              </w:rPr>
              <w:t>$1,000,000</w:t>
            </w:r>
          </w:p>
        </w:tc>
        <w:tc>
          <w:tcPr>
            <w:tcW w:type="dxa" w:w="2160"/>
            <w:shd w:val="clear" w:color="auto" w:fill="F2F2F2"/>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spacing w:before="80" w:after="80"/>
              <w:jc w:val="center"/>
            </w:pPr>
            <w:r>
              <w:rPr>
                <w:rFonts w:ascii="Times New Roman" w:hAnsi="Times New Roman"/>
                <w:b w:val="0"/>
                <w:i w:val="0"/>
                <w:color w:val="333333"/>
                <w:sz w:val="21"/>
              </w:rPr>
              <w:t>—</w:t>
            </w:r>
          </w:p>
        </w:tc>
        <w:tc>
          <w:tcPr>
            <w:tcW w:type="dxa" w:w="2160"/>
            <w:shd w:val="clear" w:color="auto" w:fill="F2F2F2"/>
            <w:tcBorders>
              <w:top w:val="single" w:sz="4" w:space="0" w:color="BBBBBB"/>
              <w:left w:val="single" w:sz="4" w:space="0" w:color="BBBBBB"/>
              <w:bottom w:val="single" w:sz="4" w:space="0" w:color="BBBBBB"/>
              <w:insideH w:val="single" w:sz="4" w:space="0" w:color="BBBBBB"/>
              <w:insideV w:val="single" w:sz="4" w:space="0" w:color="BBBBBB"/>
              <w:right w:val="single" w:sz="10" w:space="0" w:color="6B1D1D"/>
            </w:tcBorders>
          </w:tcPr>
          <w:p>
            <w:pPr>
              <w:spacing w:before="80" w:after="80"/>
              <w:jc w:val="center"/>
            </w:pPr>
            <w:r>
              <w:rPr>
                <w:rFonts w:ascii="Times New Roman" w:hAnsi="Times New Roman"/>
                <w:b w:val="0"/>
                <w:i w:val="0"/>
                <w:color w:val="333333"/>
                <w:sz w:val="21"/>
              </w:rPr>
              <w:t>CG 00 01</w:t>
            </w:r>
          </w:p>
        </w:tc>
      </w:tr>
      <w:tr>
        <w:tc>
          <w:tcPr>
            <w:tcW w:type="dxa" w:w="2160"/>
            <w:tcBorders>
              <w:top w:val="single" w:sz="4" w:space="0" w:color="BBBBBB"/>
              <w:bottom w:val="single" w:sz="4" w:space="0" w:color="BBBBBB"/>
              <w:right w:val="single" w:sz="4" w:space="0" w:color="BBBBBB"/>
              <w:insideH w:val="single" w:sz="4" w:space="0" w:color="BBBBBB"/>
              <w:insideV w:val="single" w:sz="4" w:space="0" w:color="BBBBBB"/>
              <w:left w:val="single" w:sz="10" w:space="0" w:color="6B1D1D"/>
            </w:tcBorders>
          </w:tcPr>
          <w:p>
            <w:pPr>
              <w:spacing w:before="80" w:after="80"/>
              <w:jc w:val="left"/>
            </w:pPr>
            <w:r>
              <w:rPr>
                <w:rFonts w:ascii="Times New Roman" w:hAnsi="Times New Roman"/>
                <w:b w:val="0"/>
                <w:i w:val="0"/>
                <w:color w:val="333333"/>
                <w:sz w:val="21"/>
              </w:rPr>
              <w:t>General Liability (Aggregate)</w:t>
            </w:r>
          </w:p>
        </w:tc>
        <w:tc>
          <w:tcPr>
            <w:tcW w:type="dxa" w:w="2160"/>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spacing w:before="80" w:after="80"/>
              <w:jc w:val="center"/>
            </w:pPr>
            <w:r>
              <w:rPr>
                <w:rFonts w:ascii="Times New Roman" w:hAnsi="Times New Roman"/>
                <w:b w:val="0"/>
                <w:i w:val="0"/>
                <w:color w:val="333333"/>
                <w:sz w:val="21"/>
              </w:rPr>
              <w:t>$2,000,000</w:t>
            </w:r>
          </w:p>
        </w:tc>
        <w:tc>
          <w:tcPr>
            <w:tcW w:type="dxa" w:w="2160"/>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spacing w:before="80" w:after="80"/>
              <w:jc w:val="center"/>
            </w:pPr>
            <w:r>
              <w:rPr>
                <w:rFonts w:ascii="Times New Roman" w:hAnsi="Times New Roman"/>
                <w:b w:val="0"/>
                <w:i w:val="0"/>
                <w:color w:val="333333"/>
                <w:sz w:val="21"/>
              </w:rPr>
              <w:t>—</w:t>
            </w:r>
          </w:p>
        </w:tc>
        <w:tc>
          <w:tcPr>
            <w:tcW w:type="dxa" w:w="2160"/>
            <w:tcBorders>
              <w:top w:val="single" w:sz="4" w:space="0" w:color="BBBBBB"/>
              <w:left w:val="single" w:sz="4" w:space="0" w:color="BBBBBB"/>
              <w:bottom w:val="single" w:sz="4" w:space="0" w:color="BBBBBB"/>
              <w:insideH w:val="single" w:sz="4" w:space="0" w:color="BBBBBB"/>
              <w:insideV w:val="single" w:sz="4" w:space="0" w:color="BBBBBB"/>
              <w:right w:val="single" w:sz="10" w:space="0" w:color="6B1D1D"/>
            </w:tcBorders>
          </w:tcPr>
          <w:p>
            <w:pPr>
              <w:spacing w:before="80" w:after="80"/>
              <w:jc w:val="center"/>
            </w:pPr>
            <w:r>
              <w:rPr>
                <w:rFonts w:ascii="Times New Roman" w:hAnsi="Times New Roman"/>
                <w:b w:val="0"/>
                <w:i w:val="0"/>
                <w:color w:val="333333"/>
                <w:sz w:val="21"/>
              </w:rPr>
              <w:t>CG 00 01</w:t>
            </w:r>
          </w:p>
        </w:tc>
      </w:tr>
      <w:tr>
        <w:tc>
          <w:tcPr>
            <w:tcW w:type="dxa" w:w="2160"/>
            <w:shd w:val="clear" w:color="auto" w:fill="F2F2F2"/>
            <w:tcBorders>
              <w:top w:val="single" w:sz="4" w:space="0" w:color="BBBBBB"/>
              <w:bottom w:val="single" w:sz="4" w:space="0" w:color="BBBBBB"/>
              <w:right w:val="single" w:sz="4" w:space="0" w:color="BBBBBB"/>
              <w:insideH w:val="single" w:sz="4" w:space="0" w:color="BBBBBB"/>
              <w:insideV w:val="single" w:sz="4" w:space="0" w:color="BBBBBB"/>
              <w:left w:val="single" w:sz="10" w:space="0" w:color="6B1D1D"/>
            </w:tcBorders>
          </w:tcPr>
          <w:p>
            <w:pPr>
              <w:spacing w:before="80" w:after="80"/>
              <w:jc w:val="left"/>
            </w:pPr>
            <w:r>
              <w:rPr>
                <w:rFonts w:ascii="Times New Roman" w:hAnsi="Times New Roman"/>
                <w:b w:val="0"/>
                <w:i w:val="0"/>
                <w:color w:val="333333"/>
                <w:sz w:val="21"/>
              </w:rPr>
              <w:t>Equipment Breakdown</w:t>
            </w:r>
          </w:p>
        </w:tc>
        <w:tc>
          <w:tcPr>
            <w:tcW w:type="dxa" w:w="2160"/>
            <w:shd w:val="clear" w:color="auto" w:fill="F2F2F2"/>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spacing w:before="80" w:after="80"/>
              <w:jc w:val="center"/>
            </w:pPr>
            <w:r>
              <w:rPr>
                <w:rFonts w:ascii="Times New Roman" w:hAnsi="Times New Roman"/>
                <w:b/>
                <w:i w:val="0"/>
                <w:color w:val="AA0000"/>
                <w:sz w:val="21"/>
              </w:rPr>
              <w:t>NOT INCLUDED</w:t>
            </w:r>
          </w:p>
        </w:tc>
        <w:tc>
          <w:tcPr>
            <w:tcW w:type="dxa" w:w="2160"/>
            <w:shd w:val="clear" w:color="auto" w:fill="F2F2F2"/>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spacing w:before="80" w:after="80"/>
              <w:jc w:val="center"/>
            </w:pPr>
            <w:r>
              <w:rPr>
                <w:rFonts w:ascii="Times New Roman" w:hAnsi="Times New Roman"/>
                <w:b w:val="0"/>
                <w:i w:val="0"/>
                <w:color w:val="333333"/>
                <w:sz w:val="21"/>
              </w:rPr>
              <w:t>—</w:t>
            </w:r>
          </w:p>
        </w:tc>
        <w:tc>
          <w:tcPr>
            <w:tcW w:type="dxa" w:w="2160"/>
            <w:shd w:val="clear" w:color="auto" w:fill="F2F2F2"/>
            <w:tcBorders>
              <w:top w:val="single" w:sz="4" w:space="0" w:color="BBBBBB"/>
              <w:left w:val="single" w:sz="4" w:space="0" w:color="BBBBBB"/>
              <w:bottom w:val="single" w:sz="4" w:space="0" w:color="BBBBBB"/>
              <w:insideH w:val="single" w:sz="4" w:space="0" w:color="BBBBBB"/>
              <w:insideV w:val="single" w:sz="4" w:space="0" w:color="BBBBBB"/>
              <w:right w:val="single" w:sz="10" w:space="0" w:color="6B1D1D"/>
            </w:tcBorders>
          </w:tcPr>
          <w:p>
            <w:pPr>
              <w:spacing w:before="80" w:after="80"/>
              <w:jc w:val="center"/>
            </w:pPr>
            <w:r>
              <w:rPr>
                <w:rFonts w:ascii="Times New Roman" w:hAnsi="Times New Roman"/>
                <w:b w:val="0"/>
                <w:i w:val="0"/>
                <w:color w:val="333333"/>
                <w:sz w:val="21"/>
              </w:rPr>
              <w:t>—</w:t>
            </w:r>
          </w:p>
        </w:tc>
      </w:tr>
      <w:tr>
        <w:tc>
          <w:tcPr>
            <w:tcW w:type="dxa" w:w="2160"/>
            <w:tcBorders>
              <w:top w:val="single" w:sz="4" w:space="0" w:color="BBBBBB"/>
              <w:bottom w:val="single" w:sz="4" w:space="0" w:color="BBBBBB"/>
              <w:right w:val="single" w:sz="4" w:space="0" w:color="BBBBBB"/>
              <w:insideH w:val="single" w:sz="4" w:space="0" w:color="BBBBBB"/>
              <w:insideV w:val="single" w:sz="4" w:space="0" w:color="BBBBBB"/>
              <w:left w:val="single" w:sz="10" w:space="0" w:color="6B1D1D"/>
            </w:tcBorders>
          </w:tcPr>
          <w:p>
            <w:pPr>
              <w:spacing w:before="80" w:after="80"/>
              <w:jc w:val="left"/>
            </w:pPr>
            <w:r>
              <w:rPr>
                <w:rFonts w:ascii="Times New Roman" w:hAnsi="Times New Roman"/>
                <w:b w:val="0"/>
                <w:i w:val="0"/>
                <w:color w:val="333333"/>
                <w:sz w:val="21"/>
              </w:rPr>
              <w:t>Flood</w:t>
            </w:r>
          </w:p>
        </w:tc>
        <w:tc>
          <w:tcPr>
            <w:tcW w:type="dxa" w:w="2160"/>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spacing w:before="80" w:after="80"/>
              <w:jc w:val="center"/>
            </w:pPr>
            <w:r>
              <w:rPr>
                <w:rFonts w:ascii="Times New Roman" w:hAnsi="Times New Roman"/>
                <w:b/>
                <w:i w:val="0"/>
                <w:color w:val="AA0000"/>
                <w:sz w:val="21"/>
              </w:rPr>
              <w:t>NOT INCLUDED</w:t>
            </w:r>
          </w:p>
        </w:tc>
        <w:tc>
          <w:tcPr>
            <w:tcW w:type="dxa" w:w="2160"/>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spacing w:before="80" w:after="80"/>
              <w:jc w:val="center"/>
            </w:pPr>
            <w:r>
              <w:rPr>
                <w:rFonts w:ascii="Times New Roman" w:hAnsi="Times New Roman"/>
                <w:b w:val="0"/>
                <w:i w:val="0"/>
                <w:color w:val="333333"/>
                <w:sz w:val="21"/>
              </w:rPr>
              <w:t>—</w:t>
            </w:r>
          </w:p>
        </w:tc>
        <w:tc>
          <w:tcPr>
            <w:tcW w:type="dxa" w:w="2160"/>
            <w:tcBorders>
              <w:top w:val="single" w:sz="4" w:space="0" w:color="BBBBBB"/>
              <w:left w:val="single" w:sz="4" w:space="0" w:color="BBBBBB"/>
              <w:bottom w:val="single" w:sz="4" w:space="0" w:color="BBBBBB"/>
              <w:insideH w:val="single" w:sz="4" w:space="0" w:color="BBBBBB"/>
              <w:insideV w:val="single" w:sz="4" w:space="0" w:color="BBBBBB"/>
              <w:right w:val="single" w:sz="10" w:space="0" w:color="6B1D1D"/>
            </w:tcBorders>
          </w:tcPr>
          <w:p>
            <w:pPr>
              <w:spacing w:before="80" w:after="80"/>
              <w:jc w:val="center"/>
            </w:pPr>
            <w:r>
              <w:rPr>
                <w:rFonts w:ascii="Times New Roman" w:hAnsi="Times New Roman"/>
                <w:b w:val="0"/>
                <w:i w:val="0"/>
                <w:color w:val="333333"/>
                <w:sz w:val="21"/>
              </w:rPr>
              <w:t>—</w:t>
            </w:r>
          </w:p>
        </w:tc>
      </w:tr>
      <w:tr>
        <w:tc>
          <w:tcPr>
            <w:tcW w:type="dxa" w:w="2160"/>
            <w:shd w:val="clear" w:color="auto" w:fill="F2F2F2"/>
            <w:tcBorders>
              <w:top w:val="single" w:sz="4" w:space="0" w:color="BBBBBB"/>
              <w:right w:val="single" w:sz="4" w:space="0" w:color="BBBBBB"/>
              <w:insideH w:val="single" w:sz="4" w:space="0" w:color="BBBBBB"/>
              <w:insideV w:val="single" w:sz="4" w:space="0" w:color="BBBBBB"/>
              <w:bottom w:val="single" w:sz="10" w:space="0" w:color="6B1D1D"/>
              <w:left w:val="single" w:sz="10" w:space="0" w:color="6B1D1D"/>
            </w:tcBorders>
          </w:tcPr>
          <w:p>
            <w:pPr>
              <w:spacing w:before="80" w:after="80"/>
              <w:jc w:val="left"/>
            </w:pPr>
            <w:r>
              <w:rPr>
                <w:rFonts w:ascii="Times New Roman" w:hAnsi="Times New Roman"/>
                <w:b w:val="0"/>
                <w:i w:val="0"/>
                <w:color w:val="333333"/>
                <w:sz w:val="21"/>
              </w:rPr>
              <w:t>Earthquake</w:t>
            </w:r>
          </w:p>
        </w:tc>
        <w:tc>
          <w:tcPr>
            <w:tcW w:type="dxa" w:w="2160"/>
            <w:shd w:val="clear" w:color="auto" w:fill="F2F2F2"/>
            <w:tcBorders>
              <w:top w:val="single" w:sz="4" w:space="0" w:color="BBBBBB"/>
              <w:left w:val="single" w:sz="4" w:space="0" w:color="BBBBBB"/>
              <w:right w:val="single" w:sz="4" w:space="0" w:color="BBBBBB"/>
              <w:insideH w:val="single" w:sz="4" w:space="0" w:color="BBBBBB"/>
              <w:insideV w:val="single" w:sz="4" w:space="0" w:color="BBBBBB"/>
              <w:bottom w:val="single" w:sz="10" w:space="0" w:color="6B1D1D"/>
            </w:tcBorders>
          </w:tcPr>
          <w:p>
            <w:pPr>
              <w:spacing w:before="80" w:after="80"/>
              <w:jc w:val="center"/>
            </w:pPr>
            <w:r>
              <w:rPr>
                <w:rFonts w:ascii="Times New Roman" w:hAnsi="Times New Roman"/>
                <w:b/>
                <w:i w:val="0"/>
                <w:color w:val="AA0000"/>
                <w:sz w:val="21"/>
              </w:rPr>
              <w:t>NOT INCLUDED</w:t>
            </w:r>
          </w:p>
        </w:tc>
        <w:tc>
          <w:tcPr>
            <w:tcW w:type="dxa" w:w="2160"/>
            <w:shd w:val="clear" w:color="auto" w:fill="F2F2F2"/>
            <w:tcBorders>
              <w:top w:val="single" w:sz="4" w:space="0" w:color="BBBBBB"/>
              <w:left w:val="single" w:sz="4" w:space="0" w:color="BBBBBB"/>
              <w:right w:val="single" w:sz="4" w:space="0" w:color="BBBBBB"/>
              <w:insideH w:val="single" w:sz="4" w:space="0" w:color="BBBBBB"/>
              <w:insideV w:val="single" w:sz="4" w:space="0" w:color="BBBBBB"/>
              <w:bottom w:val="single" w:sz="10" w:space="0" w:color="6B1D1D"/>
            </w:tcBorders>
          </w:tcPr>
          <w:p>
            <w:pPr>
              <w:spacing w:before="80" w:after="80"/>
              <w:jc w:val="center"/>
            </w:pPr>
            <w:r>
              <w:rPr>
                <w:rFonts w:ascii="Times New Roman" w:hAnsi="Times New Roman"/>
                <w:b w:val="0"/>
                <w:i w:val="0"/>
                <w:color w:val="333333"/>
                <w:sz w:val="21"/>
              </w:rPr>
              <w:t>—</w:t>
            </w:r>
          </w:p>
        </w:tc>
        <w:tc>
          <w:tcPr>
            <w:tcW w:type="dxa" w:w="2160"/>
            <w:shd w:val="clear" w:color="auto" w:fill="F2F2F2"/>
            <w:tcBorders>
              <w:top w:val="single" w:sz="4" w:space="0" w:color="BBBBBB"/>
              <w:left w:val="single" w:sz="4" w:space="0" w:color="BBBBBB"/>
              <w:insideH w:val="single" w:sz="4" w:space="0" w:color="BBBBBB"/>
              <w:insideV w:val="single" w:sz="4" w:space="0" w:color="BBBBBB"/>
              <w:bottom w:val="single" w:sz="10" w:space="0" w:color="6B1D1D"/>
              <w:right w:val="single" w:sz="10" w:space="0" w:color="6B1D1D"/>
            </w:tcBorders>
          </w:tcPr>
          <w:p>
            <w:pPr>
              <w:spacing w:before="80" w:after="80"/>
              <w:jc w:val="center"/>
            </w:pPr>
            <w:r>
              <w:rPr>
                <w:rFonts w:ascii="Times New Roman" w:hAnsi="Times New Roman"/>
                <w:b w:val="0"/>
                <w:i w:val="0"/>
                <w:color w:val="333333"/>
                <w:sz w:val="21"/>
              </w:rPr>
              <w:t>—</w:t>
            </w:r>
          </w:p>
        </w:tc>
      </w:tr>
    </w:tbl>
    <w:p>
      <w:pPr>
        <w:spacing w:before="40" w:after="40"/>
        <w:jc w:val="left"/>
      </w:pPr>
    </w:p>
    <w:p>
      <w:pPr>
        <w:spacing w:before="240" w:after="80"/>
        <w:jc w:val="left"/>
      </w:pPr>
      <w:r>
        <w:rPr>
          <w:rFonts w:ascii="Times New Roman" w:hAnsi="Times New Roman"/>
          <w:b/>
          <w:i w:val="0"/>
          <w:color w:val="1B2A4A"/>
          <w:sz w:val="24"/>
        </w:rPr>
        <w:t>Schedule of Deductibles</w:t>
      </w:r>
    </w:p>
    <w:tbl>
      <w:tblPr>
        <w:tblW w:type="auto" w:w="0"/>
        <w:jc w:val="left"/>
        <w:tblLook w:firstColumn="1" w:firstRow="1" w:lastColumn="0" w:lastRow="0" w:noHBand="0" w:noVBand="1" w:val="04A0"/>
      </w:tblPr>
      <w:tblGrid>
        <w:gridCol w:w="3600"/>
        <w:gridCol w:w="6480"/>
      </w:tblGrid>
      <w:tr>
        <w:tc>
          <w:tcPr>
            <w:tcW w:type="dxa" w:w="4320"/>
            <w:shd w:val="clear" w:color="auto" w:fill="6B1D1D"/>
            <w:tcBorders>
              <w:bottom w:val="single" w:sz="4" w:space="0" w:color="BBBBBB"/>
              <w:right w:val="single" w:sz="4" w:space="0" w:color="BBBBBB"/>
              <w:insideH w:val="single" w:sz="4" w:space="0" w:color="BBBBBB"/>
              <w:insideV w:val="single" w:sz="4" w:space="0" w:color="BBBBBB"/>
              <w:top w:val="single" w:sz="10" w:space="0" w:color="6B1D1D"/>
              <w:left w:val="single" w:sz="10" w:space="0" w:color="6B1D1D"/>
            </w:tcBorders>
          </w:tcPr>
          <w:p>
            <w:pPr>
              <w:spacing w:before="120" w:after="120"/>
              <w:jc w:val="center"/>
            </w:pPr>
            <w:r>
              <w:rPr>
                <w:rFonts w:ascii="Times New Roman" w:hAnsi="Times New Roman"/>
                <w:b/>
                <w:i w:val="0"/>
                <w:color w:val="FFFFFF"/>
                <w:sz w:val="21"/>
              </w:rPr>
              <w:t>Peril</w:t>
            </w:r>
          </w:p>
        </w:tc>
        <w:tc>
          <w:tcPr>
            <w:tcW w:type="dxa" w:w="4320"/>
            <w:shd w:val="clear" w:color="auto" w:fill="6B1D1D"/>
            <w:tcBorders>
              <w:left w:val="single" w:sz="4" w:space="0" w:color="BBBBBB"/>
              <w:bottom w:val="single" w:sz="4" w:space="0" w:color="BBBBBB"/>
              <w:insideH w:val="single" w:sz="4" w:space="0" w:color="BBBBBB"/>
              <w:insideV w:val="single" w:sz="4" w:space="0" w:color="BBBBBB"/>
              <w:top w:val="single" w:sz="10" w:space="0" w:color="6B1D1D"/>
              <w:right w:val="single" w:sz="10" w:space="0" w:color="6B1D1D"/>
            </w:tcBorders>
          </w:tcPr>
          <w:p>
            <w:pPr>
              <w:spacing w:before="120" w:after="120"/>
              <w:jc w:val="center"/>
            </w:pPr>
            <w:r>
              <w:rPr>
                <w:rFonts w:ascii="Times New Roman" w:hAnsi="Times New Roman"/>
                <w:b/>
                <w:i w:val="0"/>
                <w:color w:val="FFFFFF"/>
                <w:sz w:val="21"/>
              </w:rPr>
              <w:t>Deductible</w:t>
            </w:r>
          </w:p>
        </w:tc>
      </w:tr>
      <w:tr>
        <w:tc>
          <w:tcPr>
            <w:tcW w:type="dxa" w:w="4320"/>
            <w:tcBorders>
              <w:top w:val="single" w:sz="4" w:space="0" w:color="BBBBBB"/>
              <w:bottom w:val="single" w:sz="4" w:space="0" w:color="BBBBBB"/>
              <w:right w:val="single" w:sz="4" w:space="0" w:color="BBBBBB"/>
              <w:insideH w:val="single" w:sz="4" w:space="0" w:color="BBBBBB"/>
              <w:insideV w:val="single" w:sz="4" w:space="0" w:color="BBBBBB"/>
              <w:left w:val="single" w:sz="10" w:space="0" w:color="6B1D1D"/>
            </w:tcBorders>
          </w:tcPr>
          <w:p>
            <w:pPr>
              <w:spacing w:before="80" w:after="80"/>
              <w:jc w:val="left"/>
            </w:pPr>
            <w:r>
              <w:rPr>
                <w:rFonts w:ascii="Times New Roman" w:hAnsi="Times New Roman"/>
                <w:b w:val="0"/>
                <w:i w:val="0"/>
                <w:color w:val="333333"/>
                <w:sz w:val="21"/>
              </w:rPr>
              <w:t>All Other Perils</w:t>
            </w:r>
          </w:p>
        </w:tc>
        <w:tc>
          <w:tcPr>
            <w:tcW w:type="dxa" w:w="4320"/>
            <w:tcBorders>
              <w:top w:val="single" w:sz="4" w:space="0" w:color="BBBBBB"/>
              <w:left w:val="single" w:sz="4" w:space="0" w:color="BBBBBB"/>
              <w:bottom w:val="single" w:sz="4" w:space="0" w:color="BBBBBB"/>
              <w:insideH w:val="single" w:sz="4" w:space="0" w:color="BBBBBB"/>
              <w:insideV w:val="single" w:sz="4" w:space="0" w:color="BBBBBB"/>
              <w:right w:val="single" w:sz="10" w:space="0" w:color="6B1D1D"/>
            </w:tcBorders>
          </w:tcPr>
          <w:p>
            <w:pPr>
              <w:spacing w:before="80" w:after="80"/>
              <w:jc w:val="left"/>
            </w:pPr>
            <w:r>
              <w:rPr>
                <w:rFonts w:ascii="Times New Roman" w:hAnsi="Times New Roman"/>
                <w:b w:val="0"/>
                <w:i w:val="0"/>
                <w:color w:val="333333"/>
                <w:sz w:val="21"/>
              </w:rPr>
              <w:t>$25,000 per occurrence</w:t>
            </w:r>
          </w:p>
        </w:tc>
      </w:tr>
      <w:tr>
        <w:tc>
          <w:tcPr>
            <w:tcW w:type="dxa" w:w="4320"/>
            <w:shd w:val="clear" w:color="auto" w:fill="F2F2F2"/>
            <w:tcBorders>
              <w:top w:val="single" w:sz="4" w:space="0" w:color="BBBBBB"/>
              <w:bottom w:val="single" w:sz="4" w:space="0" w:color="BBBBBB"/>
              <w:right w:val="single" w:sz="4" w:space="0" w:color="BBBBBB"/>
              <w:insideH w:val="single" w:sz="4" w:space="0" w:color="BBBBBB"/>
              <w:insideV w:val="single" w:sz="4" w:space="0" w:color="BBBBBB"/>
              <w:left w:val="single" w:sz="10" w:space="0" w:color="6B1D1D"/>
            </w:tcBorders>
          </w:tcPr>
          <w:p>
            <w:pPr>
              <w:spacing w:before="80" w:after="80"/>
              <w:jc w:val="left"/>
            </w:pPr>
            <w:r>
              <w:rPr>
                <w:rFonts w:ascii="Times New Roman" w:hAnsi="Times New Roman"/>
                <w:b w:val="0"/>
                <w:i w:val="0"/>
                <w:color w:val="333333"/>
                <w:sz w:val="21"/>
              </w:rPr>
              <w:t>Wind / Hail</w:t>
            </w:r>
          </w:p>
        </w:tc>
        <w:tc>
          <w:tcPr>
            <w:tcW w:type="dxa" w:w="4320"/>
            <w:shd w:val="clear" w:color="auto" w:fill="F2F2F2"/>
            <w:tcBorders>
              <w:top w:val="single" w:sz="4" w:space="0" w:color="BBBBBB"/>
              <w:left w:val="single" w:sz="4" w:space="0" w:color="BBBBBB"/>
              <w:bottom w:val="single" w:sz="4" w:space="0" w:color="BBBBBB"/>
              <w:insideH w:val="single" w:sz="4" w:space="0" w:color="BBBBBB"/>
              <w:insideV w:val="single" w:sz="4" w:space="0" w:color="BBBBBB"/>
              <w:right w:val="single" w:sz="10" w:space="0" w:color="6B1D1D"/>
            </w:tcBorders>
          </w:tcPr>
          <w:p>
            <w:pPr>
              <w:spacing w:before="80" w:after="80"/>
              <w:jc w:val="left"/>
            </w:pPr>
            <w:r>
              <w:rPr>
                <w:rFonts w:ascii="Times New Roman" w:hAnsi="Times New Roman"/>
                <w:b w:val="0"/>
                <w:i w:val="0"/>
                <w:color w:val="333333"/>
                <w:sz w:val="21"/>
              </w:rPr>
              <w:t>3% of Total Insured Value (TIV) per occurrence</w:t>
            </w:r>
          </w:p>
        </w:tc>
      </w:tr>
      <w:tr>
        <w:tc>
          <w:tcPr>
            <w:tcW w:type="dxa" w:w="4320"/>
            <w:tcBorders>
              <w:top w:val="single" w:sz="4" w:space="0" w:color="BBBBBB"/>
              <w:right w:val="single" w:sz="4" w:space="0" w:color="BBBBBB"/>
              <w:insideH w:val="single" w:sz="4" w:space="0" w:color="BBBBBB"/>
              <w:insideV w:val="single" w:sz="4" w:space="0" w:color="BBBBBB"/>
              <w:bottom w:val="single" w:sz="10" w:space="0" w:color="6B1D1D"/>
              <w:left w:val="single" w:sz="10" w:space="0" w:color="6B1D1D"/>
            </w:tcBorders>
          </w:tcPr>
          <w:p>
            <w:pPr>
              <w:spacing w:before="80" w:after="80"/>
              <w:jc w:val="left"/>
            </w:pPr>
            <w:r>
              <w:rPr>
                <w:rFonts w:ascii="Times New Roman" w:hAnsi="Times New Roman"/>
                <w:b w:val="0"/>
                <w:i w:val="0"/>
                <w:color w:val="333333"/>
                <w:sz w:val="21"/>
              </w:rPr>
              <w:t>Named Storm</w:t>
            </w:r>
          </w:p>
        </w:tc>
        <w:tc>
          <w:tcPr>
            <w:tcW w:type="dxa" w:w="4320"/>
            <w:tcBorders>
              <w:top w:val="single" w:sz="4" w:space="0" w:color="BBBBBB"/>
              <w:left w:val="single" w:sz="4" w:space="0" w:color="BBBBBB"/>
              <w:insideH w:val="single" w:sz="4" w:space="0" w:color="BBBBBB"/>
              <w:insideV w:val="single" w:sz="4" w:space="0" w:color="BBBBBB"/>
              <w:bottom w:val="single" w:sz="10" w:space="0" w:color="6B1D1D"/>
              <w:right w:val="single" w:sz="10" w:space="0" w:color="6B1D1D"/>
            </w:tcBorders>
          </w:tcPr>
          <w:p>
            <w:pPr>
              <w:spacing w:before="80" w:after="80"/>
              <w:jc w:val="left"/>
            </w:pPr>
            <w:r>
              <w:rPr>
                <w:rFonts w:ascii="Times New Roman" w:hAnsi="Times New Roman"/>
                <w:b w:val="0"/>
                <w:i w:val="0"/>
                <w:color w:val="333333"/>
                <w:sz w:val="21"/>
              </w:rPr>
              <w:t>3% of Total Insured Value (TIV) per occurrence</w:t>
            </w:r>
          </w:p>
        </w:tc>
      </w:tr>
    </w:tbl>
    <w:p>
      <w:pPr>
        <w:spacing w:before="0" w:after="0"/>
        <w:jc w:val="left"/>
      </w:pPr>
      <w:r>
        <w:br w:type="page"/>
      </w:r>
    </w:p>
    <w:p>
      <w:pPr>
        <w:spacing w:before="0" w:after="0"/>
        <w:jc w:val="left"/>
      </w:pPr>
      <w:sectPr>
        <w:type w:val="nextPage"/>
      </w:sectPr>
    </w:p>
    <w:p>
      <w:pPr>
        <w:spacing w:before="200" w:after="80"/>
        <w:jc w:val="center"/>
        <w:pBdr>
          <w:bottom w:val="single" w:sz="6" w:space="0" w:color="6B1D1D"/>
        </w:pBdr>
      </w:pPr>
      <w:r>
        <w:rPr>
          <w:rFonts w:ascii="Times New Roman" w:hAnsi="Times New Roman"/>
          <w:b/>
          <w:i w:val="0"/>
          <w:color w:val="6B1D1D"/>
          <w:sz w:val="28"/>
        </w:rPr>
        <w:t>PREMIUM SUMMARY</w:t>
      </w:r>
    </w:p>
    <w:p>
      <w:pPr>
        <w:spacing w:before="40" w:after="200"/>
        <w:jc w:val="center"/>
      </w:pPr>
      <w:r>
        <w:rPr>
          <w:rFonts w:ascii="Times New Roman" w:hAnsi="Times New Roman"/>
          <w:b w:val="0"/>
          <w:i/>
          <w:color w:val="1B2A4A"/>
          <w:sz w:val="20"/>
        </w:rPr>
        <w:t>Annual Policy Period: May 1, 2026 to May 1, 2027   |   All premiums in USD</w:t>
      </w:r>
    </w:p>
    <w:tbl>
      <w:tblPr>
        <w:tblW w:type="auto" w:w="0"/>
        <w:jc w:val="center"/>
        <w:tblLook w:firstColumn="1" w:firstRow="1" w:lastColumn="0" w:lastRow="0" w:noHBand="0" w:noVBand="1" w:val="04A0"/>
      </w:tblPr>
      <w:tblGrid>
        <w:gridCol w:w="5760"/>
        <w:gridCol w:w="2880"/>
      </w:tblGrid>
      <w:tr>
        <w:tc>
          <w:tcPr>
            <w:tcW w:type="dxa" w:w="4320"/>
            <w:shd w:val="clear" w:color="auto" w:fill="6B1D1D"/>
            <w:tcBorders>
              <w:bottom w:val="single" w:sz="4" w:space="0" w:color="BBBBBB"/>
              <w:right w:val="single" w:sz="4" w:space="0" w:color="BBBBBB"/>
              <w:insideH w:val="single" w:sz="4" w:space="0" w:color="BBBBBB"/>
              <w:insideV w:val="single" w:sz="4" w:space="0" w:color="BBBBBB"/>
              <w:top w:val="single" w:sz="10" w:space="0" w:color="6B1D1D"/>
              <w:left w:val="single" w:sz="10" w:space="0" w:color="6B1D1D"/>
            </w:tcBorders>
          </w:tcPr>
          <w:p>
            <w:pPr>
              <w:spacing w:before="120" w:after="120"/>
              <w:jc w:val="center"/>
            </w:pPr>
            <w:r>
              <w:rPr>
                <w:rFonts w:ascii="Times New Roman" w:hAnsi="Times New Roman"/>
                <w:b/>
                <w:i w:val="0"/>
                <w:color w:val="FFFFFF"/>
                <w:sz w:val="21"/>
              </w:rPr>
              <w:t>Description</w:t>
            </w:r>
          </w:p>
        </w:tc>
        <w:tc>
          <w:tcPr>
            <w:tcW w:type="dxa" w:w="4320"/>
            <w:shd w:val="clear" w:color="auto" w:fill="6B1D1D"/>
            <w:tcBorders>
              <w:left w:val="single" w:sz="4" w:space="0" w:color="BBBBBB"/>
              <w:bottom w:val="single" w:sz="4" w:space="0" w:color="BBBBBB"/>
              <w:insideH w:val="single" w:sz="4" w:space="0" w:color="BBBBBB"/>
              <w:insideV w:val="single" w:sz="4" w:space="0" w:color="BBBBBB"/>
              <w:top w:val="single" w:sz="10" w:space="0" w:color="6B1D1D"/>
              <w:right w:val="single" w:sz="10" w:space="0" w:color="6B1D1D"/>
            </w:tcBorders>
          </w:tcPr>
          <w:p>
            <w:pPr>
              <w:spacing w:before="120" w:after="120"/>
              <w:jc w:val="center"/>
            </w:pPr>
            <w:r>
              <w:rPr>
                <w:rFonts w:ascii="Times New Roman" w:hAnsi="Times New Roman"/>
                <w:b/>
                <w:i w:val="0"/>
                <w:color w:val="FFFFFF"/>
                <w:sz w:val="21"/>
              </w:rPr>
              <w:t>Annual Premium</w:t>
            </w:r>
          </w:p>
        </w:tc>
      </w:tr>
      <w:tr>
        <w:tc>
          <w:tcPr>
            <w:tcW w:type="dxa" w:w="4320"/>
            <w:tcBorders>
              <w:top w:val="single" w:sz="4" w:space="0" w:color="BBBBBB"/>
              <w:bottom w:val="single" w:sz="4" w:space="0" w:color="BBBBBB"/>
              <w:right w:val="single" w:sz="4" w:space="0" w:color="BBBBBB"/>
              <w:insideH w:val="single" w:sz="4" w:space="0" w:color="BBBBBB"/>
              <w:insideV w:val="single" w:sz="4" w:space="0" w:color="BBBBBB"/>
              <w:left w:val="single" w:sz="10" w:space="0" w:color="6B1D1D"/>
            </w:tcBorders>
          </w:tcPr>
          <w:p>
            <w:pPr>
              <w:spacing w:before="80" w:after="80"/>
              <w:jc w:val="left"/>
            </w:pPr>
            <w:r>
              <w:rPr>
                <w:rFonts w:ascii="Times New Roman" w:hAnsi="Times New Roman"/>
                <w:b w:val="0"/>
                <w:i w:val="0"/>
                <w:color w:val="333333"/>
                <w:sz w:val="21"/>
              </w:rPr>
              <w:t>Building (ACV Broad Form)</w:t>
            </w:r>
          </w:p>
        </w:tc>
        <w:tc>
          <w:tcPr>
            <w:tcW w:type="dxa" w:w="4320"/>
            <w:tcBorders>
              <w:top w:val="single" w:sz="4" w:space="0" w:color="BBBBBB"/>
              <w:left w:val="single" w:sz="4" w:space="0" w:color="BBBBBB"/>
              <w:bottom w:val="single" w:sz="4" w:space="0" w:color="BBBBBB"/>
              <w:insideH w:val="single" w:sz="4" w:space="0" w:color="BBBBBB"/>
              <w:insideV w:val="single" w:sz="4" w:space="0" w:color="BBBBBB"/>
              <w:right w:val="single" w:sz="10" w:space="0" w:color="6B1D1D"/>
            </w:tcBorders>
          </w:tcPr>
          <w:p>
            <w:pPr>
              <w:spacing w:before="80" w:after="80"/>
              <w:jc w:val="right"/>
            </w:pPr>
            <w:r>
              <w:rPr>
                <w:rFonts w:ascii="Times New Roman" w:hAnsi="Times New Roman"/>
                <w:b w:val="0"/>
                <w:i w:val="0"/>
                <w:color w:val="333333"/>
                <w:sz w:val="21"/>
              </w:rPr>
              <w:t>$28,400</w:t>
            </w:r>
          </w:p>
        </w:tc>
      </w:tr>
      <w:tr>
        <w:tc>
          <w:tcPr>
            <w:tcW w:type="dxa" w:w="4320"/>
            <w:shd w:val="clear" w:color="auto" w:fill="F2F2F2"/>
            <w:tcBorders>
              <w:top w:val="single" w:sz="4" w:space="0" w:color="BBBBBB"/>
              <w:bottom w:val="single" w:sz="4" w:space="0" w:color="BBBBBB"/>
              <w:right w:val="single" w:sz="4" w:space="0" w:color="BBBBBB"/>
              <w:insideH w:val="single" w:sz="4" w:space="0" w:color="BBBBBB"/>
              <w:insideV w:val="single" w:sz="4" w:space="0" w:color="BBBBBB"/>
              <w:left w:val="single" w:sz="10" w:space="0" w:color="6B1D1D"/>
            </w:tcBorders>
          </w:tcPr>
          <w:p>
            <w:pPr>
              <w:spacing w:before="80" w:after="80"/>
              <w:jc w:val="left"/>
            </w:pPr>
            <w:r>
              <w:rPr>
                <w:rFonts w:ascii="Times New Roman" w:hAnsi="Times New Roman"/>
                <w:b w:val="0"/>
                <w:i w:val="0"/>
                <w:color w:val="333333"/>
                <w:sz w:val="21"/>
              </w:rPr>
              <w:t>Business Personal Property</w:t>
            </w:r>
          </w:p>
        </w:tc>
        <w:tc>
          <w:tcPr>
            <w:tcW w:type="dxa" w:w="4320"/>
            <w:shd w:val="clear" w:color="auto" w:fill="F2F2F2"/>
            <w:tcBorders>
              <w:top w:val="single" w:sz="4" w:space="0" w:color="BBBBBB"/>
              <w:left w:val="single" w:sz="4" w:space="0" w:color="BBBBBB"/>
              <w:bottom w:val="single" w:sz="4" w:space="0" w:color="BBBBBB"/>
              <w:insideH w:val="single" w:sz="4" w:space="0" w:color="BBBBBB"/>
              <w:insideV w:val="single" w:sz="4" w:space="0" w:color="BBBBBB"/>
              <w:right w:val="single" w:sz="10" w:space="0" w:color="6B1D1D"/>
            </w:tcBorders>
          </w:tcPr>
          <w:p>
            <w:pPr>
              <w:spacing w:before="80" w:after="80"/>
              <w:jc w:val="right"/>
            </w:pPr>
            <w:r>
              <w:rPr>
                <w:rFonts w:ascii="Times New Roman" w:hAnsi="Times New Roman"/>
                <w:b w:val="0"/>
                <w:i w:val="0"/>
                <w:color w:val="333333"/>
                <w:sz w:val="21"/>
              </w:rPr>
              <w:t>$6,200</w:t>
            </w:r>
          </w:p>
        </w:tc>
      </w:tr>
      <w:tr>
        <w:tc>
          <w:tcPr>
            <w:tcW w:type="dxa" w:w="4320"/>
            <w:tcBorders>
              <w:top w:val="single" w:sz="4" w:space="0" w:color="BBBBBB"/>
              <w:bottom w:val="single" w:sz="4" w:space="0" w:color="BBBBBB"/>
              <w:right w:val="single" w:sz="4" w:space="0" w:color="BBBBBB"/>
              <w:insideH w:val="single" w:sz="4" w:space="0" w:color="BBBBBB"/>
              <w:insideV w:val="single" w:sz="4" w:space="0" w:color="BBBBBB"/>
              <w:left w:val="single" w:sz="10" w:space="0" w:color="6B1D1D"/>
            </w:tcBorders>
          </w:tcPr>
          <w:p>
            <w:pPr>
              <w:spacing w:before="80" w:after="80"/>
              <w:jc w:val="left"/>
            </w:pPr>
            <w:r>
              <w:rPr>
                <w:rFonts w:ascii="Times New Roman" w:hAnsi="Times New Roman"/>
                <w:b w:val="0"/>
                <w:i w:val="0"/>
                <w:color w:val="333333"/>
                <w:sz w:val="21"/>
              </w:rPr>
              <w:t>Business Income / Extra Exp.</w:t>
            </w:r>
          </w:p>
        </w:tc>
        <w:tc>
          <w:tcPr>
            <w:tcW w:type="dxa" w:w="4320"/>
            <w:tcBorders>
              <w:top w:val="single" w:sz="4" w:space="0" w:color="BBBBBB"/>
              <w:left w:val="single" w:sz="4" w:space="0" w:color="BBBBBB"/>
              <w:bottom w:val="single" w:sz="4" w:space="0" w:color="BBBBBB"/>
              <w:insideH w:val="single" w:sz="4" w:space="0" w:color="BBBBBB"/>
              <w:insideV w:val="single" w:sz="4" w:space="0" w:color="BBBBBB"/>
              <w:right w:val="single" w:sz="10" w:space="0" w:color="6B1D1D"/>
            </w:tcBorders>
          </w:tcPr>
          <w:p>
            <w:pPr>
              <w:spacing w:before="80" w:after="80"/>
              <w:jc w:val="right"/>
            </w:pPr>
            <w:r>
              <w:rPr>
                <w:rFonts w:ascii="Times New Roman" w:hAnsi="Times New Roman"/>
                <w:b w:val="0"/>
                <w:i w:val="0"/>
                <w:color w:val="333333"/>
                <w:sz w:val="21"/>
              </w:rPr>
              <w:t>$4,100</w:t>
            </w:r>
          </w:p>
        </w:tc>
      </w:tr>
      <w:tr>
        <w:tc>
          <w:tcPr>
            <w:tcW w:type="dxa" w:w="4320"/>
            <w:shd w:val="clear" w:color="auto" w:fill="F2F2F2"/>
            <w:tcBorders>
              <w:top w:val="single" w:sz="4" w:space="0" w:color="BBBBBB"/>
              <w:bottom w:val="single" w:sz="4" w:space="0" w:color="BBBBBB"/>
              <w:right w:val="single" w:sz="4" w:space="0" w:color="BBBBBB"/>
              <w:insideH w:val="single" w:sz="4" w:space="0" w:color="BBBBBB"/>
              <w:insideV w:val="single" w:sz="4" w:space="0" w:color="BBBBBB"/>
              <w:left w:val="single" w:sz="10" w:space="0" w:color="6B1D1D"/>
            </w:tcBorders>
          </w:tcPr>
          <w:p>
            <w:pPr>
              <w:spacing w:before="80" w:after="80"/>
              <w:jc w:val="left"/>
            </w:pPr>
            <w:r>
              <w:rPr>
                <w:rFonts w:ascii="Times New Roman" w:hAnsi="Times New Roman"/>
                <w:b w:val="0"/>
                <w:i w:val="0"/>
                <w:color w:val="333333"/>
                <w:sz w:val="21"/>
              </w:rPr>
              <w:t>General Liability</w:t>
            </w:r>
          </w:p>
        </w:tc>
        <w:tc>
          <w:tcPr>
            <w:tcW w:type="dxa" w:w="4320"/>
            <w:shd w:val="clear" w:color="auto" w:fill="F2F2F2"/>
            <w:tcBorders>
              <w:top w:val="single" w:sz="4" w:space="0" w:color="BBBBBB"/>
              <w:left w:val="single" w:sz="4" w:space="0" w:color="BBBBBB"/>
              <w:bottom w:val="single" w:sz="4" w:space="0" w:color="BBBBBB"/>
              <w:insideH w:val="single" w:sz="4" w:space="0" w:color="BBBBBB"/>
              <w:insideV w:val="single" w:sz="4" w:space="0" w:color="BBBBBB"/>
              <w:right w:val="single" w:sz="10" w:space="0" w:color="6B1D1D"/>
            </w:tcBorders>
          </w:tcPr>
          <w:p>
            <w:pPr>
              <w:spacing w:before="80" w:after="80"/>
              <w:jc w:val="right"/>
            </w:pPr>
            <w:r>
              <w:rPr>
                <w:rFonts w:ascii="Times New Roman" w:hAnsi="Times New Roman"/>
                <w:b w:val="0"/>
                <w:i w:val="0"/>
                <w:color w:val="333333"/>
                <w:sz w:val="21"/>
              </w:rPr>
              <w:t>$2,100</w:t>
            </w:r>
          </w:p>
        </w:tc>
      </w:tr>
      <w:tr>
        <w:tc>
          <w:tcPr>
            <w:tcW w:type="dxa" w:w="4320"/>
            <w:tcBorders>
              <w:top w:val="single" w:sz="4" w:space="0" w:color="BBBBBB"/>
              <w:bottom w:val="single" w:sz="4" w:space="0" w:color="BBBBBB"/>
              <w:right w:val="single" w:sz="4" w:space="0" w:color="BBBBBB"/>
              <w:insideH w:val="single" w:sz="4" w:space="0" w:color="BBBBBB"/>
              <w:insideV w:val="single" w:sz="4" w:space="0" w:color="BBBBBB"/>
              <w:left w:val="single" w:sz="10" w:space="0" w:color="6B1D1D"/>
            </w:tcBorders>
          </w:tcPr>
          <w:p>
            <w:pPr>
              <w:spacing w:before="80" w:after="80"/>
              <w:jc w:val="left"/>
            </w:pPr>
            <w:r>
              <w:rPr>
                <w:rFonts w:ascii="Times New Roman" w:hAnsi="Times New Roman"/>
                <w:b w:val="0"/>
                <w:i w:val="0"/>
                <w:color w:val="333333"/>
                <w:sz w:val="21"/>
              </w:rPr>
              <w:t>TRIA Terrorism Surcharge</w:t>
            </w:r>
          </w:p>
        </w:tc>
        <w:tc>
          <w:tcPr>
            <w:tcW w:type="dxa" w:w="4320"/>
            <w:tcBorders>
              <w:top w:val="single" w:sz="4" w:space="0" w:color="BBBBBB"/>
              <w:left w:val="single" w:sz="4" w:space="0" w:color="BBBBBB"/>
              <w:bottom w:val="single" w:sz="4" w:space="0" w:color="BBBBBB"/>
              <w:insideH w:val="single" w:sz="4" w:space="0" w:color="BBBBBB"/>
              <w:insideV w:val="single" w:sz="4" w:space="0" w:color="BBBBBB"/>
              <w:right w:val="single" w:sz="10" w:space="0" w:color="6B1D1D"/>
            </w:tcBorders>
          </w:tcPr>
          <w:p>
            <w:pPr>
              <w:spacing w:before="80" w:after="80"/>
              <w:jc w:val="right"/>
            </w:pPr>
            <w:r>
              <w:rPr>
                <w:rFonts w:ascii="Times New Roman" w:hAnsi="Times New Roman"/>
                <w:b w:val="0"/>
                <w:i w:val="0"/>
                <w:color w:val="333333"/>
                <w:sz w:val="21"/>
              </w:rPr>
              <w:t>$500</w:t>
            </w:r>
          </w:p>
        </w:tc>
      </w:tr>
      <w:tr>
        <w:tc>
          <w:tcPr>
            <w:tcW w:type="dxa" w:w="4320"/>
            <w:shd w:val="clear" w:color="auto" w:fill="F2F2F2"/>
            <w:tcBorders>
              <w:top w:val="single" w:sz="4" w:space="0" w:color="BBBBBB"/>
              <w:bottom w:val="single" w:sz="4" w:space="0" w:color="BBBBBB"/>
              <w:right w:val="single" w:sz="4" w:space="0" w:color="BBBBBB"/>
              <w:insideH w:val="single" w:sz="4" w:space="0" w:color="BBBBBB"/>
              <w:insideV w:val="single" w:sz="4" w:space="0" w:color="BBBBBB"/>
              <w:left w:val="single" w:sz="10" w:space="0" w:color="6B1D1D"/>
            </w:tcBorders>
          </w:tcPr>
          <w:p>
            <w:pPr>
              <w:spacing w:before="80" w:after="80"/>
              <w:jc w:val="left"/>
            </w:pPr>
            <w:r>
              <w:rPr>
                <w:rFonts w:ascii="Times New Roman" w:hAnsi="Times New Roman"/>
                <w:b w:val="0"/>
                <w:i w:val="0"/>
                <w:color w:val="333333"/>
                <w:sz w:val="21"/>
              </w:rPr>
              <w:t>Policy Fee</w:t>
            </w:r>
          </w:p>
        </w:tc>
        <w:tc>
          <w:tcPr>
            <w:tcW w:type="dxa" w:w="4320"/>
            <w:shd w:val="clear" w:color="auto" w:fill="F2F2F2"/>
            <w:tcBorders>
              <w:top w:val="single" w:sz="4" w:space="0" w:color="BBBBBB"/>
              <w:left w:val="single" w:sz="4" w:space="0" w:color="BBBBBB"/>
              <w:bottom w:val="single" w:sz="4" w:space="0" w:color="BBBBBB"/>
              <w:insideH w:val="single" w:sz="4" w:space="0" w:color="BBBBBB"/>
              <w:insideV w:val="single" w:sz="4" w:space="0" w:color="BBBBBB"/>
              <w:right w:val="single" w:sz="10" w:space="0" w:color="6B1D1D"/>
            </w:tcBorders>
          </w:tcPr>
          <w:p>
            <w:pPr>
              <w:spacing w:before="80" w:after="80"/>
              <w:jc w:val="right"/>
            </w:pPr>
            <w:r>
              <w:rPr>
                <w:rFonts w:ascii="Times New Roman" w:hAnsi="Times New Roman"/>
                <w:b w:val="0"/>
                <w:i w:val="0"/>
                <w:color w:val="333333"/>
                <w:sz w:val="21"/>
              </w:rPr>
              <w:t>$200</w:t>
            </w:r>
          </w:p>
        </w:tc>
      </w:tr>
      <w:tr>
        <w:tc>
          <w:tcPr>
            <w:tcW w:type="dxa" w:w="4320"/>
            <w:shd w:val="clear" w:color="auto" w:fill="1B2A4A"/>
            <w:tcBorders>
              <w:top w:val="single" w:sz="4" w:space="0" w:color="BBBBBB"/>
              <w:bottom w:val="single" w:sz="4" w:space="0" w:color="BBBBBB"/>
              <w:right w:val="single" w:sz="4" w:space="0" w:color="BBBBBB"/>
              <w:insideH w:val="single" w:sz="4" w:space="0" w:color="BBBBBB"/>
              <w:insideV w:val="single" w:sz="4" w:space="0" w:color="BBBBBB"/>
              <w:left w:val="single" w:sz="10" w:space="0" w:color="6B1D1D"/>
            </w:tcBorders>
          </w:tcPr>
          <w:p>
            <w:pPr>
              <w:spacing w:before="140" w:after="140"/>
              <w:jc w:val="left"/>
            </w:pPr>
            <w:r>
              <w:rPr>
                <w:rFonts w:ascii="Times New Roman" w:hAnsi="Times New Roman"/>
                <w:b/>
                <w:i w:val="0"/>
                <w:color w:val="FFFFFF"/>
                <w:sz w:val="22"/>
              </w:rPr>
              <w:t>TOTAL ANNUAL PREMIUM</w:t>
            </w:r>
          </w:p>
        </w:tc>
        <w:tc>
          <w:tcPr>
            <w:tcW w:type="dxa" w:w="4320"/>
            <w:shd w:val="clear" w:color="auto" w:fill="1B2A4A"/>
            <w:tcBorders>
              <w:top w:val="single" w:sz="4" w:space="0" w:color="BBBBBB"/>
              <w:left w:val="single" w:sz="4" w:space="0" w:color="BBBBBB"/>
              <w:bottom w:val="single" w:sz="4" w:space="0" w:color="BBBBBB"/>
              <w:insideH w:val="single" w:sz="4" w:space="0" w:color="BBBBBB"/>
              <w:insideV w:val="single" w:sz="4" w:space="0" w:color="BBBBBB"/>
              <w:right w:val="single" w:sz="10" w:space="0" w:color="6B1D1D"/>
            </w:tcBorders>
          </w:tcPr>
          <w:p>
            <w:pPr>
              <w:spacing w:before="140" w:after="140"/>
              <w:jc w:val="right"/>
            </w:pPr>
            <w:r>
              <w:rPr>
                <w:rFonts w:ascii="Times New Roman" w:hAnsi="Times New Roman"/>
                <w:b/>
                <w:i w:val="0"/>
                <w:color w:val="FFFFFF"/>
                <w:sz w:val="22"/>
              </w:rPr>
              <w:t>$41,500</w:t>
            </w:r>
          </w:p>
        </w:tc>
      </w:tr>
      <w:tr>
        <w:tc>
          <w:tcPr>
            <w:tcW w:type="dxa" w:w="4320"/>
            <w:shd w:val="clear" w:color="auto" w:fill="F2F2F2"/>
            <w:tcBorders>
              <w:top w:val="single" w:sz="4" w:space="0" w:color="BBBBBB"/>
              <w:bottom w:val="single" w:sz="4" w:space="0" w:color="BBBBBB"/>
              <w:right w:val="single" w:sz="4" w:space="0" w:color="BBBBBB"/>
              <w:insideH w:val="single" w:sz="4" w:space="0" w:color="BBBBBB"/>
              <w:insideV w:val="single" w:sz="4" w:space="0" w:color="BBBBBB"/>
              <w:left w:val="single" w:sz="10" w:space="0" w:color="6B1D1D"/>
            </w:tcBorders>
          </w:tcPr>
          <w:p>
            <w:pPr>
              <w:spacing w:before="80" w:after="80"/>
              <w:jc w:val="left"/>
            </w:pPr>
            <w:r>
              <w:rPr>
                <w:rFonts w:ascii="Times New Roman" w:hAnsi="Times New Roman"/>
                <w:b w:val="0"/>
                <w:i w:val="0"/>
                <w:color w:val="333333"/>
                <w:sz w:val="21"/>
              </w:rPr>
              <w:t>Rate per Square Foot</w:t>
            </w:r>
          </w:p>
        </w:tc>
        <w:tc>
          <w:tcPr>
            <w:tcW w:type="dxa" w:w="4320"/>
            <w:shd w:val="clear" w:color="auto" w:fill="F2F2F2"/>
            <w:tcBorders>
              <w:top w:val="single" w:sz="4" w:space="0" w:color="BBBBBB"/>
              <w:left w:val="single" w:sz="4" w:space="0" w:color="BBBBBB"/>
              <w:bottom w:val="single" w:sz="4" w:space="0" w:color="BBBBBB"/>
              <w:insideH w:val="single" w:sz="4" w:space="0" w:color="BBBBBB"/>
              <w:insideV w:val="single" w:sz="4" w:space="0" w:color="BBBBBB"/>
              <w:right w:val="single" w:sz="10" w:space="0" w:color="6B1D1D"/>
            </w:tcBorders>
          </w:tcPr>
          <w:p>
            <w:pPr>
              <w:spacing w:before="80" w:after="80"/>
              <w:jc w:val="right"/>
            </w:pPr>
            <w:r>
              <w:rPr>
                <w:rFonts w:ascii="Times New Roman" w:hAnsi="Times New Roman"/>
                <w:b w:val="0"/>
                <w:i w:val="0"/>
                <w:color w:val="333333"/>
                <w:sz w:val="21"/>
              </w:rPr>
              <w:t>$0.52/SF</w:t>
            </w:r>
          </w:p>
        </w:tc>
      </w:tr>
      <w:tr>
        <w:tc>
          <w:tcPr>
            <w:tcW w:type="dxa" w:w="4320"/>
            <w:tcBorders>
              <w:top w:val="single" w:sz="4" w:space="0" w:color="BBBBBB"/>
              <w:bottom w:val="single" w:sz="4" w:space="0" w:color="BBBBBB"/>
              <w:right w:val="single" w:sz="4" w:space="0" w:color="BBBBBB"/>
              <w:insideH w:val="single" w:sz="4" w:space="0" w:color="BBBBBB"/>
              <w:insideV w:val="single" w:sz="4" w:space="0" w:color="BBBBBB"/>
              <w:left w:val="single" w:sz="10" w:space="0" w:color="6B1D1D"/>
            </w:tcBorders>
          </w:tcPr>
          <w:p>
            <w:pPr>
              <w:spacing w:before="80" w:after="80"/>
              <w:jc w:val="left"/>
            </w:pPr>
            <w:r>
              <w:rPr>
                <w:rFonts w:ascii="Times New Roman" w:hAnsi="Times New Roman"/>
                <w:b w:val="0"/>
                <w:i w:val="0"/>
                <w:color w:val="333333"/>
                <w:sz w:val="21"/>
              </w:rPr>
              <w:t>Semi-Annual Installment</w:t>
            </w:r>
          </w:p>
        </w:tc>
        <w:tc>
          <w:tcPr>
            <w:tcW w:type="dxa" w:w="4320"/>
            <w:tcBorders>
              <w:top w:val="single" w:sz="4" w:space="0" w:color="BBBBBB"/>
              <w:left w:val="single" w:sz="4" w:space="0" w:color="BBBBBB"/>
              <w:bottom w:val="single" w:sz="4" w:space="0" w:color="BBBBBB"/>
              <w:insideH w:val="single" w:sz="4" w:space="0" w:color="BBBBBB"/>
              <w:insideV w:val="single" w:sz="4" w:space="0" w:color="BBBBBB"/>
              <w:right w:val="single" w:sz="10" w:space="0" w:color="6B1D1D"/>
            </w:tcBorders>
          </w:tcPr>
          <w:p>
            <w:pPr>
              <w:spacing w:before="80" w:after="80"/>
              <w:jc w:val="right"/>
            </w:pPr>
            <w:r>
              <w:rPr>
                <w:rFonts w:ascii="Times New Roman" w:hAnsi="Times New Roman"/>
                <w:b w:val="0"/>
                <w:i w:val="0"/>
                <w:color w:val="333333"/>
                <w:sz w:val="21"/>
              </w:rPr>
              <w:t>$20,750</w:t>
            </w:r>
          </w:p>
        </w:tc>
      </w:tr>
      <w:tr>
        <w:tc>
          <w:tcPr>
            <w:tcW w:type="dxa" w:w="4320"/>
            <w:shd w:val="clear" w:color="auto" w:fill="F2F2F2"/>
            <w:tcBorders>
              <w:top w:val="single" w:sz="4" w:space="0" w:color="BBBBBB"/>
              <w:right w:val="single" w:sz="4" w:space="0" w:color="BBBBBB"/>
              <w:insideH w:val="single" w:sz="4" w:space="0" w:color="BBBBBB"/>
              <w:insideV w:val="single" w:sz="4" w:space="0" w:color="BBBBBB"/>
              <w:bottom w:val="single" w:sz="10" w:space="0" w:color="6B1D1D"/>
              <w:left w:val="single" w:sz="10" w:space="0" w:color="6B1D1D"/>
            </w:tcBorders>
          </w:tcPr>
          <w:p>
            <w:pPr>
              <w:spacing w:before="80" w:after="80"/>
              <w:jc w:val="left"/>
            </w:pPr>
            <w:r>
              <w:rPr>
                <w:rFonts w:ascii="Times New Roman" w:hAnsi="Times New Roman"/>
                <w:b w:val="0"/>
                <w:i w:val="0"/>
                <w:color w:val="333333"/>
                <w:sz w:val="21"/>
              </w:rPr>
              <w:t>Quarterly Installment</w:t>
            </w:r>
          </w:p>
        </w:tc>
        <w:tc>
          <w:tcPr>
            <w:tcW w:type="dxa" w:w="4320"/>
            <w:shd w:val="clear" w:color="auto" w:fill="F2F2F2"/>
            <w:tcBorders>
              <w:top w:val="single" w:sz="4" w:space="0" w:color="BBBBBB"/>
              <w:left w:val="single" w:sz="4" w:space="0" w:color="BBBBBB"/>
              <w:insideH w:val="single" w:sz="4" w:space="0" w:color="BBBBBB"/>
              <w:insideV w:val="single" w:sz="4" w:space="0" w:color="BBBBBB"/>
              <w:bottom w:val="single" w:sz="10" w:space="0" w:color="6B1D1D"/>
              <w:right w:val="single" w:sz="10" w:space="0" w:color="6B1D1D"/>
            </w:tcBorders>
          </w:tcPr>
          <w:p>
            <w:pPr>
              <w:spacing w:before="80" w:after="80"/>
              <w:jc w:val="right"/>
            </w:pPr>
            <w:r>
              <w:rPr>
                <w:rFonts w:ascii="Times New Roman" w:hAnsi="Times New Roman"/>
                <w:b w:val="0"/>
                <w:i w:val="0"/>
                <w:color w:val="333333"/>
                <w:sz w:val="21"/>
              </w:rPr>
              <w:t>$10,375</w:t>
            </w:r>
          </w:p>
        </w:tc>
      </w:tr>
    </w:tbl>
    <w:p>
      <w:pPr>
        <w:spacing w:before="80" w:after="80"/>
        <w:jc w:val="left"/>
      </w:pPr>
    </w:p>
    <w:p>
      <w:pPr>
        <w:spacing w:before="240" w:after="80"/>
        <w:jc w:val="left"/>
      </w:pPr>
      <w:r>
        <w:rPr>
          <w:rFonts w:ascii="Times New Roman" w:hAnsi="Times New Roman"/>
          <w:b/>
          <w:i w:val="0"/>
          <w:color w:val="1B2A4A"/>
          <w:sz w:val="24"/>
        </w:rPr>
        <w:t>IMPORTANT CONDITIONS AND UNDERWRITING NOTES</w:t>
      </w:r>
    </w:p>
    <w:p>
      <w:pPr>
        <w:spacing w:before="80" w:after="40"/>
        <w:jc w:val="left"/>
      </w:pPr>
      <w:r>
        <w:rPr>
          <w:rFonts w:ascii="Times New Roman" w:hAnsi="Times New Roman"/>
          <w:b/>
          <w:i w:val="0"/>
          <w:color w:val="6B1D1D"/>
          <w:sz w:val="21"/>
        </w:rPr>
        <w:t xml:space="preserve">1.  ACV VALUATION    </w:t>
      </w:r>
      <w:r>
        <w:rPr>
          <w:rFonts w:ascii="Times New Roman" w:hAnsi="Times New Roman"/>
          <w:b w:val="0"/>
          <w:i w:val="0"/>
          <w:color w:val="333333"/>
          <w:sz w:val="21"/>
        </w:rPr>
        <w:t>This policy covers losses on an Actual Cash Value basis. In the event of a total loss, settlement will be based on replacement cost less depreciation. The insured should maintain detailed records supporting all building improvements and betterments.</w:t>
      </w:r>
    </w:p>
    <w:p>
      <w:pPr>
        <w:spacing w:before="80" w:after="40"/>
        <w:jc w:val="left"/>
      </w:pPr>
      <w:r>
        <w:rPr>
          <w:rFonts w:ascii="Times New Roman" w:hAnsi="Times New Roman"/>
          <w:b/>
          <w:i w:val="0"/>
          <w:color w:val="6B1D1D"/>
          <w:sz w:val="21"/>
        </w:rPr>
        <w:t xml:space="preserve">2.  COINSURANCE    </w:t>
      </w:r>
      <w:r>
        <w:rPr>
          <w:rFonts w:ascii="Times New Roman" w:hAnsi="Times New Roman"/>
          <w:b w:val="0"/>
          <w:i w:val="0"/>
          <w:color w:val="333333"/>
          <w:sz w:val="21"/>
        </w:rPr>
        <w:t>A 90% coinsurance clause applies to this policy. The current insured value of $15,000,000 must represent at least 90% of the building's full replacement cost. In the event of underinsurance, a coinsurance penalty will reduce the loss settlement proportionally.</w:t>
      </w:r>
    </w:p>
    <w:p>
      <w:pPr>
        <w:spacing w:before="80" w:after="40"/>
        <w:jc w:val="left"/>
      </w:pPr>
      <w:r>
        <w:rPr>
          <w:rFonts w:ascii="Times New Roman" w:hAnsi="Times New Roman"/>
          <w:b/>
          <w:i w:val="0"/>
          <w:color w:val="6B1D1D"/>
          <w:sz w:val="21"/>
        </w:rPr>
        <w:t xml:space="preserve">3.  EQUIPMENT BREAKDOWN    </w:t>
      </w:r>
      <w:r>
        <w:rPr>
          <w:rFonts w:ascii="Times New Roman" w:hAnsi="Times New Roman"/>
          <w:b w:val="0"/>
          <w:i w:val="0"/>
          <w:color w:val="333333"/>
          <w:sz w:val="21"/>
        </w:rPr>
        <w:t>Equipment Breakdown coverage is not included in this quote. Coverage is available as a standalone policy endorsement — please contact your agent for a separate quotation.</w:t>
      </w:r>
    </w:p>
    <w:p>
      <w:pPr>
        <w:spacing w:before="80" w:after="40"/>
        <w:jc w:val="left"/>
      </w:pPr>
      <w:r>
        <w:rPr>
          <w:rFonts w:ascii="Times New Roman" w:hAnsi="Times New Roman"/>
          <w:b/>
          <w:i w:val="0"/>
          <w:color w:val="6B1D1D"/>
          <w:sz w:val="21"/>
        </w:rPr>
        <w:t xml:space="preserve">4.  FLOOD / EARTHQUAKE    </w:t>
      </w:r>
      <w:r>
        <w:rPr>
          <w:rFonts w:ascii="Times New Roman" w:hAnsi="Times New Roman"/>
          <w:b w:val="0"/>
          <w:i w:val="0"/>
          <w:color w:val="333333"/>
          <w:sz w:val="21"/>
        </w:rPr>
        <w:t>Flood and Earthquake coverage are not offered at this location under this policy. The National Flood Insurance Program (NFIP) flood policy is strongly recommended given the property's proximity to Industrial Creek drainage infrastructure. Please contact your agent for an NFIP referral.</w:t>
      </w:r>
    </w:p>
    <w:p>
      <w:pPr>
        <w:spacing w:before="80" w:after="40"/>
        <w:jc w:val="left"/>
      </w:pPr>
      <w:r>
        <w:rPr>
          <w:rFonts w:ascii="Times New Roman" w:hAnsi="Times New Roman"/>
          <w:b/>
          <w:i w:val="0"/>
          <w:color w:val="6B1D1D"/>
          <w:sz w:val="21"/>
        </w:rPr>
        <w:t xml:space="preserve">5.  PRE-ENGINEERED STEEL CONSTRUCTION    </w:t>
      </w:r>
      <w:r>
        <w:rPr>
          <w:rFonts w:ascii="Times New Roman" w:hAnsi="Times New Roman"/>
          <w:b w:val="0"/>
          <w:i w:val="0"/>
          <w:color w:val="333333"/>
          <w:sz w:val="21"/>
        </w:rPr>
        <w:t>Per Hartford underwriting guidelines, the Broad Form (CP 10 20) — not the Special Form (CP 10 30) — applies to this location due to the pre-engineered steel construction type. Certain perils covered under the Special Form are excluded from this policy.</w:t>
      </w:r>
    </w:p>
    <w:p>
      <w:pPr>
        <w:spacing w:before="80" w:after="40"/>
        <w:jc w:val="left"/>
      </w:pPr>
      <w:r>
        <w:rPr>
          <w:rFonts w:ascii="Times New Roman" w:hAnsi="Times New Roman"/>
          <w:b/>
          <w:i w:val="0"/>
          <w:color w:val="6B1D1D"/>
          <w:sz w:val="21"/>
        </w:rPr>
        <w:t xml:space="preserve">6.  WIND / HAIL DEDUCTIBLE    </w:t>
      </w:r>
      <w:r>
        <w:rPr>
          <w:rFonts w:ascii="Times New Roman" w:hAnsi="Times New Roman"/>
          <w:b w:val="0"/>
          <w:i w:val="0"/>
          <w:color w:val="333333"/>
          <w:sz w:val="21"/>
        </w:rPr>
        <w:t>A 3% of Total Insured Value (TIV) per-occurrence deductible applies for Wind/Hail losses per Texas Windstorm exposure requirements. Based on an insured value of $15,000,000, the Wind/Hail deductible equals $450,000 per occurrence.</w:t>
      </w:r>
    </w:p>
    <w:p>
      <w:pPr>
        <w:spacing w:before="80" w:after="80"/>
        <w:jc w:val="left"/>
      </w:pPr>
    </w:p>
    <w:tbl>
      <w:tblPr>
        <w:tblW w:type="auto" w:w="0"/>
        <w:jc w:val="center"/>
        <w:tblLook w:firstColumn="1" w:firstRow="1" w:lastColumn="0" w:lastRow="0" w:noHBand="0" w:noVBand="1" w:val="04A0"/>
      </w:tblPr>
      <w:tblGrid>
        <w:gridCol w:w="8640"/>
      </w:tblGrid>
      <w:tr>
        <w:tc>
          <w:tcPr>
            <w:tcW w:type="dxa" w:w="8640"/>
            <w:shd w:val="clear" w:color="auto" w:fill="6B1D1D"/>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200" w:after="80"/>
              <w:jc w:val="center"/>
            </w:pPr>
            <w:r>
              <w:rPr>
                <w:rFonts w:ascii="Times New Roman" w:hAnsi="Times New Roman"/>
                <w:b/>
                <w:i w:val="0"/>
                <w:color w:val="FFFFFF"/>
                <w:sz w:val="28"/>
              </w:rPr>
              <w:t>QUOTE VALID UNTIL APRIL 24, 2026</w:t>
            </w:r>
          </w:p>
          <w:p>
            <w:pPr>
              <w:spacing w:before="0" w:after="200"/>
              <w:jc w:val="center"/>
            </w:pPr>
            <w:r>
              <w:rPr>
                <w:rFonts w:ascii="Times New Roman" w:hAnsi="Times New Roman"/>
                <w:b w:val="0"/>
                <w:i/>
                <w:color w:val="FFFFFF"/>
                <w:sz w:val="19"/>
              </w:rPr>
              <w:t>This quotation expires at 12:01 AM on April 24, 2026.  Premium rates are subject to change after the expiration date.  Binding requires written confirmation from a licensed Hartford agent and acceptance of all terms and conditions set forth herein.</w:t>
            </w:r>
          </w:p>
        </w:tc>
      </w:tr>
    </w:tbl>
    <w:p>
      <w:pPr>
        <w:spacing w:before="80" w:after="80"/>
        <w:jc w:val="left"/>
      </w:pPr>
    </w:p>
    <w:p>
      <w:pPr>
        <w:spacing w:before="160" w:after="80"/>
        <w:jc w:val="left"/>
      </w:pPr>
      <w:r>
        <w:rPr>
          <w:rFonts w:ascii="Times New Roman" w:hAnsi="Times New Roman"/>
          <w:b w:val="0"/>
          <w:i/>
          <w:color w:val="777777"/>
          <w:sz w:val="18"/>
        </w:rPr>
        <w:t>This document is a quotation only and does not constitute a binder or contract of insurance. Coverage will not be bound until The Hartford receives a completed application, all required supporting documents, and written binding authority from the assigned agent. All coverages are subject to the terms, conditions, and exclusions of the applicable policy forms and endorsements.</w:t>
      </w:r>
    </w:p>
    <w:sectPr w:rsidR="00FC693F" w:rsidRPr="0006063C" w:rsidSect="00034616">
      <w:footerReference w:type="default" r:id="rId9"/>
      <w:pgSz w:w="12240" w:h="15840"/>
      <w:pgMar w:top="1440" w:right="1800" w:bottom="129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4" w:space="0" w:color="6B1D1D"/>
      </w:pBdr>
    </w:pPr>
    <w:r>
      <w:rPr>
        <w:rFonts w:ascii="Times New Roman" w:hAnsi="Times New Roman"/>
        <w:b w:val="0"/>
        <w:i/>
        <w:color w:val="1B2A4A"/>
        <w:sz w:val="16"/>
      </w:rPr>
      <w:t>THE HARTFORD FIRE INSURANCE COMPANY  |  Quote #HTFRD-2026-QT-1174-W  |  Page 4 of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