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00"/>
        <w:gridCol w:w="2860"/>
      </w:tblGrid>
      <w:tr>
        <w:tc>
          <w:tcPr>
            <w:tcW w:type="dxa" w:w="6500"/>
            <w:shd w:fill="003B36"/>
            <w:tcMar>
              <w:top w:w="180" w:type="dxa"/>
              <w:start w:w="180" w:type="dxa"/>
              <w:bottom w:w="180" w:type="dxa"/>
              <w:end w:w="180" w:type="dxa"/>
            </w:tcMar>
          </w:tcPr>
          <w:p>
            <w:r>
              <w:rPr>
                <w:b/>
                <w:color w:val="FFFFFF"/>
                <w:sz w:val="24"/>
              </w:rPr>
              <w:t>VOICE HUB</w:t>
            </w:r>
          </w:p>
        </w:tc>
        <w:tc>
          <w:tcPr>
            <w:tcW w:type="dxa" w:w="2860"/>
            <w:shd w:fill="F5B942"/>
            <w:tcMar>
              <w:top w:w="180" w:type="dxa"/>
              <w:start w:w="180" w:type="dxa"/>
              <w:bottom w:w="180" w:type="dxa"/>
              <w:end w:w="180" w:type="dxa"/>
            </w:tcMar>
          </w:tcPr>
          <w:p>
            <w:pPr>
              <w:jc w:val="right"/>
            </w:pPr>
            <w:r>
              <w:rPr>
                <w:b/>
                <w:color w:val="003B36"/>
                <w:sz w:val="16"/>
              </w:rPr>
              <w:t>PRODUCT • ANDROID • NIGERIA</w:t>
            </w:r>
          </w:p>
        </w:tc>
      </w:tr>
    </w:tbl>
    <w:p>
      <w:pPr>
        <w:spacing w:after="240"/>
      </w:pPr>
    </w:p>
    <w:p>
      <w:pPr>
        <w:pStyle w:val="Title"/>
      </w:pPr>
      <w:r>
        <w:t>Product Requirements Document</w:t>
      </w:r>
    </w:p>
    <w:p>
      <w:pPr>
        <w:pStyle w:val="Subtitle"/>
      </w:pPr>
      <w:r>
        <w:t>Create, share, subscribe, and converse in Nigerian languages</w:t>
      </w:r>
    </w:p>
    <w:tbl>
      <w:tblPr>
        <w:tblW w:type="auto" w:w="0"/>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2100"/>
        <w:gridCol w:w="7260"/>
      </w:tblGrid>
      <w:tr>
        <w:tc>
          <w:tcPr>
            <w:tcW w:type="dxa" w:w="2100"/>
            <w:shd w:fill="E5F2F0"/>
            <w:tcMar>
              <w:top w:w="90" w:type="dxa"/>
              <w:start w:w="140" w:type="dxa"/>
              <w:bottom w:w="90" w:type="dxa"/>
              <w:end w:w="140" w:type="dxa"/>
            </w:tcMar>
            <w:vAlign w:val="center"/>
          </w:tcPr>
          <w:p>
            <w:r>
              <w:rPr>
                <w:b/>
              </w:rPr>
              <w:t>Version</w:t>
            </w:r>
          </w:p>
        </w:tc>
        <w:tc>
          <w:tcPr>
            <w:tcW w:type="dxa" w:w="7260"/>
            <w:tcMar>
              <w:top w:w="90" w:type="dxa"/>
              <w:start w:w="140" w:type="dxa"/>
              <w:bottom w:w="90" w:type="dxa"/>
              <w:end w:w="140" w:type="dxa"/>
            </w:tcMar>
            <w:vAlign w:val="center"/>
          </w:tcPr>
          <w:p>
            <w:r>
              <w:t>1.0</w:t>
            </w:r>
          </w:p>
        </w:tc>
      </w:tr>
      <w:tr>
        <w:tc>
          <w:tcPr>
            <w:tcW w:type="dxa" w:w="2100"/>
            <w:shd w:fill="E5F2F0"/>
            <w:tcMar>
              <w:top w:w="90" w:type="dxa"/>
              <w:start w:w="140" w:type="dxa"/>
              <w:bottom w:w="90" w:type="dxa"/>
              <w:end w:w="140" w:type="dxa"/>
            </w:tcMar>
            <w:vAlign w:val="center"/>
          </w:tcPr>
          <w:p>
            <w:r>
              <w:rPr>
                <w:b/>
              </w:rPr>
              <w:t>Status</w:t>
            </w:r>
          </w:p>
        </w:tc>
        <w:tc>
          <w:tcPr>
            <w:tcW w:type="dxa" w:w="7260"/>
            <w:tcMar>
              <w:top w:w="90" w:type="dxa"/>
              <w:start w:w="140" w:type="dxa"/>
              <w:bottom w:w="90" w:type="dxa"/>
              <w:end w:w="140" w:type="dxa"/>
            </w:tcMar>
            <w:vAlign w:val="center"/>
          </w:tcPr>
          <w:p>
            <w:r>
              <w:t>Working baseline</w:t>
            </w:r>
          </w:p>
        </w:tc>
      </w:tr>
      <w:tr>
        <w:tc>
          <w:tcPr>
            <w:tcW w:type="dxa" w:w="2100"/>
            <w:shd w:fill="E5F2F0"/>
            <w:tcMar>
              <w:top w:w="90" w:type="dxa"/>
              <w:start w:w="140" w:type="dxa"/>
              <w:bottom w:w="90" w:type="dxa"/>
              <w:end w:w="140" w:type="dxa"/>
            </w:tcMar>
            <w:vAlign w:val="center"/>
          </w:tcPr>
          <w:p>
            <w:r>
              <w:rPr>
                <w:b/>
              </w:rPr>
              <w:t>Date</w:t>
            </w:r>
          </w:p>
        </w:tc>
        <w:tc>
          <w:tcPr>
            <w:tcW w:type="dxa" w:w="7260"/>
            <w:tcMar>
              <w:top w:w="90" w:type="dxa"/>
              <w:start w:w="140" w:type="dxa"/>
              <w:bottom w:w="90" w:type="dxa"/>
              <w:end w:w="140" w:type="dxa"/>
            </w:tcMar>
            <w:vAlign w:val="center"/>
          </w:tcPr>
          <w:p>
            <w:r>
              <w:t>2026-08-15</w:t>
            </w:r>
          </w:p>
        </w:tc>
      </w:tr>
      <w:tr>
        <w:tc>
          <w:tcPr>
            <w:tcW w:type="dxa" w:w="2100"/>
            <w:shd w:fill="E5F2F0"/>
            <w:tcMar>
              <w:top w:w="90" w:type="dxa"/>
              <w:start w:w="140" w:type="dxa"/>
              <w:bottom w:w="90" w:type="dxa"/>
              <w:end w:w="140" w:type="dxa"/>
            </w:tcMar>
            <w:vAlign w:val="center"/>
          </w:tcPr>
          <w:p>
            <w:r>
              <w:rPr>
                <w:b/>
              </w:rPr>
              <w:t>Owner</w:t>
            </w:r>
          </w:p>
        </w:tc>
        <w:tc>
          <w:tcPr>
            <w:tcW w:type="dxa" w:w="7260"/>
            <w:tcMar>
              <w:top w:w="90" w:type="dxa"/>
              <w:start w:w="140" w:type="dxa"/>
              <w:bottom w:w="90" w:type="dxa"/>
              <w:end w:w="140" w:type="dxa"/>
            </w:tcMar>
            <w:vAlign w:val="center"/>
          </w:tcPr>
          <w:p>
            <w:r>
              <w:t>Voice Hub product and engineering</w:t>
            </w:r>
          </w:p>
        </w:tc>
      </w:tr>
      <w:tr>
        <w:tc>
          <w:tcPr>
            <w:tcW w:type="dxa" w:w="2100"/>
            <w:shd w:fill="E5F2F0"/>
            <w:tcMar>
              <w:top w:w="90" w:type="dxa"/>
              <w:start w:w="140" w:type="dxa"/>
              <w:bottom w:w="90" w:type="dxa"/>
              <w:end w:w="140" w:type="dxa"/>
            </w:tcMar>
            <w:vAlign w:val="center"/>
          </w:tcPr>
          <w:p>
            <w:r>
              <w:rPr>
                <w:b/>
              </w:rPr>
              <w:t>Audience</w:t>
            </w:r>
          </w:p>
        </w:tc>
        <w:tc>
          <w:tcPr>
            <w:tcW w:type="dxa" w:w="7260"/>
            <w:tcMar>
              <w:top w:w="90" w:type="dxa"/>
              <w:start w:w="140" w:type="dxa"/>
              <w:bottom w:w="90" w:type="dxa"/>
              <w:end w:w="140" w:type="dxa"/>
            </w:tcMar>
            <w:vAlign w:val="center"/>
          </w:tcPr>
          <w:p>
            <w:r>
              <w:t>Product, engineering, design, editorial operations, trust and safety, and launch partners</w:t>
            </w:r>
          </w:p>
        </w:tc>
      </w:tr>
    </w:tbl>
    <w:p/>
    <w:tbl>
      <w:tblPr>
        <w:tblW w:type="auto" w:w="0"/>
        <w:tblLayout w:type="fixed"/>
        <w:tblLook w:firstColumn="1" w:firstRow="1" w:lastColumn="0" w:lastRow="0" w:noHBand="0" w:noVBand="1" w:val="04A0"/>
        <w:tblBorders>
          <w:top w:val="single" w:sz="8" w:space="0" w:color="F5B942"/>
          <w:left w:val="single" w:sz="8" w:space="0" w:color="F5B942"/>
          <w:bottom w:val="single" w:sz="8" w:space="0" w:color="F5B942"/>
          <w:right w:val="single" w:sz="8" w:space="0" w:color="F5B942"/>
          <w:insideH w:val="single" w:sz="8" w:space="0" w:color="F5B942"/>
          <w:insideV w:val="single" w:sz="8" w:space="0" w:color="F5B942"/>
        </w:tblBorders>
      </w:tblPr>
      <w:tblGrid>
        <w:gridCol w:w="9360"/>
      </w:tblGrid>
      <w:tr>
        <w:tc>
          <w:tcPr>
            <w:tcW w:type="dxa" w:w="9360"/>
            <w:shd w:fill="FFF4D6"/>
            <w:tcMar>
              <w:top w:w="140" w:type="dxa"/>
              <w:start w:w="180" w:type="dxa"/>
              <w:bottom w:w="140" w:type="dxa"/>
              <w:end w:w="180" w:type="dxa"/>
            </w:tcMar>
          </w:tcPr>
          <w:p>
            <w:r>
              <w:rPr>
                <w:b/>
                <w:color w:val="003B36"/>
              </w:rPr>
              <w:t xml:space="preserve">Launch decision  </w:t>
            </w:r>
            <w:r>
              <w:t>Original and system voices only. Celebrity or public-figure voice cloning is out of scope. Editorial Channels and private Companions are separate product and data domains.</w:t>
            </w:r>
          </w:p>
        </w:tc>
      </w:tr>
    </w:tbl>
    <w:p>
      <w:pPr>
        <w:spacing w:after="0"/>
      </w:pPr>
    </w:p>
    <w:p>
      <w:r>
        <w:rPr>
          <w:b/>
        </w:rPr>
        <w:t xml:space="preserve">Vision. </w:t>
      </w:r>
      <w:r>
        <w:t>Make it effortless to create, hear, and privately exchange useful voice experiences in Nigerian languages, beginning with Android and WhatsApp.</w:t>
      </w:r>
    </w:p>
    <w:p>
      <w:r>
        <w:rPr>
          <w:b/>
        </w:rPr>
        <w:t xml:space="preserve">Launch scope. </w:t>
      </w:r>
      <w:r>
        <w:t>Android-first production launch in Nigeria with original/system voices only; no celebrity voice cloning.</w:t>
      </w:r>
    </w:p>
    <w:p>
      <w:r>
        <w:br w:type="page"/>
      </w:r>
    </w:p>
    <w:p>
      <w:pPr>
        <w:pStyle w:val="Heading1"/>
        <w:keepNext/>
      </w:pPr>
      <w:r>
        <w:t>1. Executive summary</w:t>
      </w:r>
    </w:p>
    <w:p>
      <w:r>
        <w:t>Voice Hub is an Android-first product that turns written prompts into shareable Nigerian-language voice notes, distributes reviewed voice channels, and supports private conversations with clearly disclosed fictional AI companions. The first production path prioritizes WhatsApp-friendly audio, explicit consent, and deterministic privacy boundaries.</w:t>
      </w:r>
    </w:p>
    <w:p>
      <w:pPr>
        <w:pStyle w:val="Heading2"/>
        <w:keepNext/>
      </w:pPr>
      <w:r>
        <w:t>Product outcomes</w:t>
      </w:r>
    </w:p>
    <w:p>
      <w:pPr>
        <w:pStyle w:val="ListBullet"/>
      </w:pPr>
      <w:r>
        <w:t>A creator can select English, Naija Pidgin, Yorùbá, Hausa, or Igbo; optionally translate into Pidgin; generate; preview; save; and share.</w:t>
      </w:r>
    </w:p>
    <w:p>
      <w:pPr>
        <w:pStyle w:val="ListBullet"/>
      </w:pPr>
      <w:r>
        <w:t>Device voice is presented as local and device-dependent. Voice Hub voice is presented as cloud-based and consistent across devices.</w:t>
      </w:r>
    </w:p>
    <w:p>
      <w:pPr>
        <w:pStyle w:val="ListBullet"/>
      </w:pPr>
      <w:r>
        <w:t>A listener can follow original, reviewed gist, relationship, and jobs channels in the app and separately opt in to WhatsApp delivery.</w:t>
      </w:r>
    </w:p>
    <w:p>
      <w:pPr>
        <w:pStyle w:val="ListBullet"/>
      </w:pPr>
      <w:r>
        <w:t>An adult can use fictional AI girlfriend, AI boyfriend, friend, guy man, or iya agba profiles in private-by-default conversations with delete/export/block/report controls.</w:t>
      </w:r>
    </w:p>
    <w:p>
      <w:pPr>
        <w:pStyle w:val="ListBullet"/>
      </w:pPr>
      <w:r>
        <w:t>The service can start on cost-conscious cloud infrastructure, but production readiness—not a fixed $5 promise—controls launch.</w:t>
      </w:r>
    </w:p>
    <w:p>
      <w:pPr>
        <w:pStyle w:val="Heading2"/>
        <w:keepNext/>
      </w:pPr>
      <w:r>
        <w:t>Non-negotiable product decisions</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2100"/>
        <w:gridCol w:w="7260"/>
      </w:tblGrid>
      <w:tr>
        <w:trPr>
          <w:tblHeader w:val="true"/>
          <w:cantSplit/>
        </w:trPr>
        <w:tc>
          <w:tcPr>
            <w:tcW w:type="dxa" w:w="2100"/>
            <w:tcMar>
              <w:top w:w="80" w:type="dxa"/>
              <w:start w:w="120" w:type="dxa"/>
              <w:bottom w:w="80" w:type="dxa"/>
              <w:end w:w="120" w:type="dxa"/>
            </w:tcMar>
            <w:vAlign w:val="center"/>
            <w:shd w:fill="003B36"/>
          </w:tcPr>
          <w:p>
            <w:r>
              <w:rPr>
                <w:b/>
                <w:color w:val="FFFFFF"/>
                <w:sz w:val="18"/>
              </w:rPr>
              <w:t>Decision</w:t>
            </w:r>
          </w:p>
        </w:tc>
        <w:tc>
          <w:tcPr>
            <w:tcW w:type="dxa" w:w="7260"/>
            <w:tcMar>
              <w:top w:w="80" w:type="dxa"/>
              <w:start w:w="120" w:type="dxa"/>
              <w:bottom w:w="80" w:type="dxa"/>
              <w:end w:w="120" w:type="dxa"/>
            </w:tcMar>
            <w:vAlign w:val="center"/>
            <w:shd w:fill="003B36"/>
          </w:tcPr>
          <w:p>
            <w:r>
              <w:rPr>
                <w:b/>
                <w:color w:val="FFFFFF"/>
                <w:sz w:val="18"/>
              </w:rPr>
              <w:t>Product rule</w:t>
            </w:r>
          </w:p>
        </w:tc>
      </w:tr>
      <w:tr>
        <w:trPr>
          <w:cantSplit/>
        </w:trPr>
        <w:tc>
          <w:tcPr>
            <w:tcW w:type="dxa" w:w="2100"/>
            <w:tcMar>
              <w:top w:w="80" w:type="dxa"/>
              <w:start w:w="120" w:type="dxa"/>
              <w:bottom w:w="80" w:type="dxa"/>
              <w:end w:w="120" w:type="dxa"/>
            </w:tcMar>
            <w:vAlign w:val="center"/>
          </w:tcPr>
          <w:p>
            <w:pPr>
              <w:spacing w:after="40"/>
            </w:pPr>
            <w:r>
              <w:rPr>
                <w:sz w:val="18"/>
              </w:rPr>
              <w:t>Voice provenance</w:t>
            </w:r>
          </w:p>
        </w:tc>
        <w:tc>
          <w:tcPr>
            <w:tcW w:type="dxa" w:w="7260"/>
            <w:tcMar>
              <w:top w:w="80" w:type="dxa"/>
              <w:start w:w="120" w:type="dxa"/>
              <w:bottom w:w="80" w:type="dxa"/>
              <w:end w:w="120" w:type="dxa"/>
            </w:tcMar>
            <w:vAlign w:val="center"/>
          </w:tcPr>
          <w:p>
            <w:pPr>
              <w:spacing w:after="40"/>
            </w:pPr>
            <w:r>
              <w:rPr>
                <w:sz w:val="18"/>
              </w:rPr>
              <w:t>No celebrity/public-figure cloning at launch. Every cloud voice has a provider and provenance class.</w:t>
            </w:r>
          </w:p>
        </w:tc>
      </w:tr>
      <w:tr>
        <w:trPr>
          <w:cantSplit/>
        </w:trPr>
        <w:tc>
          <w:tcPr>
            <w:tcW w:type="dxa" w:w="2100"/>
            <w:tcMar>
              <w:top w:w="80" w:type="dxa"/>
              <w:start w:w="120" w:type="dxa"/>
              <w:bottom w:w="80" w:type="dxa"/>
              <w:end w:w="120" w:type="dxa"/>
            </w:tcMar>
            <w:vAlign w:val="center"/>
          </w:tcPr>
          <w:p>
            <w:pPr>
              <w:spacing w:after="40"/>
            </w:pPr>
            <w:r>
              <w:rPr>
                <w:sz w:val="18"/>
              </w:rPr>
              <w:t>No silent fallback</w:t>
            </w:r>
          </w:p>
        </w:tc>
        <w:tc>
          <w:tcPr>
            <w:tcW w:type="dxa" w:w="7260"/>
            <w:tcMar>
              <w:top w:w="80" w:type="dxa"/>
              <w:start w:w="120" w:type="dxa"/>
              <w:bottom w:w="80" w:type="dxa"/>
              <w:end w:w="120" w:type="dxa"/>
            </w:tcMar>
            <w:vAlign w:val="center"/>
          </w:tcPr>
          <w:p>
            <w:pPr>
              <w:spacing w:after="40"/>
            </w:pPr>
            <w:r>
              <w:rPr>
                <w:sz w:val="18"/>
              </w:rPr>
              <w:t>If a language is unavailable in the selected device engine, the app explains how to install it or choose Voice Hub voice.</w:t>
            </w:r>
          </w:p>
        </w:tc>
      </w:tr>
      <w:tr>
        <w:trPr>
          <w:cantSplit/>
        </w:trPr>
        <w:tc>
          <w:tcPr>
            <w:tcW w:type="dxa" w:w="2100"/>
            <w:tcMar>
              <w:top w:w="80" w:type="dxa"/>
              <w:start w:w="120" w:type="dxa"/>
              <w:bottom w:w="80" w:type="dxa"/>
              <w:end w:w="120" w:type="dxa"/>
            </w:tcMar>
            <w:vAlign w:val="center"/>
          </w:tcPr>
          <w:p>
            <w:pPr>
              <w:spacing w:after="40"/>
            </w:pPr>
            <w:r>
              <w:rPr>
                <w:sz w:val="18"/>
              </w:rPr>
              <w:t>Audio contract</w:t>
            </w:r>
          </w:p>
        </w:tc>
        <w:tc>
          <w:tcPr>
            <w:tcW w:type="dxa" w:w="7260"/>
            <w:tcMar>
              <w:top w:w="80" w:type="dxa"/>
              <w:start w:w="120" w:type="dxa"/>
              <w:bottom w:w="80" w:type="dxa"/>
              <w:end w:w="120" w:type="dxa"/>
            </w:tcMar>
            <w:vAlign w:val="center"/>
          </w:tcPr>
          <w:p>
            <w:pPr>
              <w:spacing w:after="40"/>
            </w:pPr>
            <w:r>
              <w:rPr>
                <w:sz w:val="18"/>
              </w:rPr>
              <w:t>Cloud output is Ogg/Opus. Device output must be normalized to Ogg/Opus before the portable share path is considered complete.</w:t>
            </w:r>
          </w:p>
        </w:tc>
      </w:tr>
      <w:tr>
        <w:trPr>
          <w:cantSplit/>
        </w:trPr>
        <w:tc>
          <w:tcPr>
            <w:tcW w:type="dxa" w:w="2100"/>
            <w:tcMar>
              <w:top w:w="80" w:type="dxa"/>
              <w:start w:w="120" w:type="dxa"/>
              <w:bottom w:w="80" w:type="dxa"/>
              <w:end w:w="120" w:type="dxa"/>
            </w:tcMar>
            <w:vAlign w:val="center"/>
          </w:tcPr>
          <w:p>
            <w:pPr>
              <w:spacing w:after="40"/>
            </w:pPr>
            <w:r>
              <w:rPr>
                <w:sz w:val="18"/>
              </w:rPr>
              <w:t>WhatsApp semantics</w:t>
            </w:r>
          </w:p>
        </w:tc>
        <w:tc>
          <w:tcPr>
            <w:tcW w:type="dxa" w:w="7260"/>
            <w:tcMar>
              <w:top w:w="80" w:type="dxa"/>
              <w:start w:w="120" w:type="dxa"/>
              <w:bottom w:w="80" w:type="dxa"/>
              <w:end w:w="120" w:type="dxa"/>
            </w:tcMar>
            <w:vAlign w:val="center"/>
          </w:tcPr>
          <w:p>
            <w:pPr>
              <w:spacing w:after="40"/>
            </w:pPr>
            <w:r>
              <w:rPr>
                <w:sz w:val="18"/>
              </w:rPr>
              <w:t>Android share intent is a convenient file share, not a guarantee of WhatsApp's native voice-note bubble. Automated delivery uses the WhatsApp Cloud API.</w:t>
            </w:r>
          </w:p>
        </w:tc>
      </w:tr>
      <w:tr>
        <w:trPr>
          <w:cantSplit/>
        </w:trPr>
        <w:tc>
          <w:tcPr>
            <w:tcW w:type="dxa" w:w="2100"/>
            <w:tcMar>
              <w:top w:w="80" w:type="dxa"/>
              <w:start w:w="120" w:type="dxa"/>
              <w:bottom w:w="80" w:type="dxa"/>
              <w:end w:w="120" w:type="dxa"/>
            </w:tcMar>
            <w:vAlign w:val="center"/>
          </w:tcPr>
          <w:p>
            <w:pPr>
              <w:spacing w:after="40"/>
            </w:pPr>
            <w:r>
              <w:rPr>
                <w:sz w:val="18"/>
              </w:rPr>
              <w:t>Editorial ownership</w:t>
            </w:r>
          </w:p>
        </w:tc>
        <w:tc>
          <w:tcPr>
            <w:tcW w:type="dxa" w:w="7260"/>
            <w:tcMar>
              <w:top w:w="80" w:type="dxa"/>
              <w:start w:w="120" w:type="dxa"/>
              <w:bottom w:w="80" w:type="dxa"/>
              <w:end w:w="120" w:type="dxa"/>
            </w:tcMar>
            <w:vAlign w:val="center"/>
          </w:tcPr>
          <w:p>
            <w:pPr>
              <w:spacing w:after="40"/>
            </w:pPr>
            <w:r>
              <w:rPr>
                <w:sz w:val="18"/>
              </w:rPr>
              <w:t>Channels use original or rights-cleared content with source, review, owner, and takedown records. No scraping or implied Gistlover affiliation.</w:t>
            </w:r>
          </w:p>
        </w:tc>
      </w:tr>
      <w:tr>
        <w:trPr>
          <w:cantSplit/>
        </w:trPr>
        <w:tc>
          <w:tcPr>
            <w:tcW w:type="dxa" w:w="2100"/>
            <w:tcMar>
              <w:top w:w="80" w:type="dxa"/>
              <w:start w:w="120" w:type="dxa"/>
              <w:bottom w:w="80" w:type="dxa"/>
              <w:end w:w="120" w:type="dxa"/>
            </w:tcMar>
            <w:vAlign w:val="center"/>
          </w:tcPr>
          <w:p>
            <w:pPr>
              <w:spacing w:after="40"/>
            </w:pPr>
            <w:r>
              <w:rPr>
                <w:sz w:val="18"/>
              </w:rPr>
              <w:t>Companion separation</w:t>
            </w:r>
          </w:p>
        </w:tc>
        <w:tc>
          <w:tcPr>
            <w:tcW w:type="dxa" w:w="7260"/>
            <w:tcMar>
              <w:top w:w="80" w:type="dxa"/>
              <w:start w:w="120" w:type="dxa"/>
              <w:bottom w:w="80" w:type="dxa"/>
              <w:end w:w="120" w:type="dxa"/>
            </w:tcMar>
            <w:vAlign w:val="center"/>
          </w:tcPr>
          <w:p>
            <w:pPr>
              <w:spacing w:after="40"/>
            </w:pPr>
            <w:r>
              <w:rPr>
                <w:sz w:val="18"/>
              </w:rPr>
              <w:t>Companions are private conversations, never subscriptions or broadcasts; romantic profiles require adult assurance and explicit AI disclosure.</w:t>
            </w:r>
          </w:p>
        </w:tc>
      </w:tr>
    </w:tbl>
    <w:p>
      <w:pPr>
        <w:pStyle w:val="Heading1"/>
        <w:keepNext/>
      </w:pPr>
      <w:r>
        <w:t>2. Problem, users, and principles</w:t>
      </w:r>
    </w:p>
    <w:p>
      <w:pPr>
        <w:pStyle w:val="Heading2"/>
        <w:keepNext/>
      </w:pPr>
      <w:r>
        <w:t>Problem statement</w:t>
      </w:r>
    </w:p>
    <w:p>
      <w:r>
        <w:t>Nigerian-language voice creation is fragmented across inconsistent device voices, cloud tools that do not produce the required share format, and publishing flows that do not separate editorial consent from private conversation. Users need a simple create-and-share experience; publishers need accountable audio distribution; companion users need strong disclosure, privacy, and safety controls.</w:t>
      </w:r>
    </w:p>
    <w:p>
      <w:pPr>
        <w:pStyle w:val="Heading2"/>
        <w:keepNext/>
      </w:pPr>
      <w:r>
        <w:t>Primary users</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2400"/>
        <w:gridCol w:w="6960"/>
      </w:tblGrid>
      <w:tr>
        <w:trPr>
          <w:tblHeader w:val="true"/>
          <w:cantSplit/>
        </w:trPr>
        <w:tc>
          <w:tcPr>
            <w:tcW w:type="dxa" w:w="2400"/>
            <w:tcMar>
              <w:top w:w="80" w:type="dxa"/>
              <w:start w:w="120" w:type="dxa"/>
              <w:bottom w:w="80" w:type="dxa"/>
              <w:end w:w="120" w:type="dxa"/>
            </w:tcMar>
            <w:vAlign w:val="center"/>
            <w:shd w:fill="003B36"/>
          </w:tcPr>
          <w:p>
            <w:r>
              <w:rPr>
                <w:b/>
                <w:color w:val="FFFFFF"/>
                <w:sz w:val="18"/>
              </w:rPr>
              <w:t>User</w:t>
            </w:r>
          </w:p>
        </w:tc>
        <w:tc>
          <w:tcPr>
            <w:tcW w:type="dxa" w:w="6960"/>
            <w:tcMar>
              <w:top w:w="80" w:type="dxa"/>
              <w:start w:w="120" w:type="dxa"/>
              <w:bottom w:w="80" w:type="dxa"/>
              <w:end w:w="120" w:type="dxa"/>
            </w:tcMar>
            <w:vAlign w:val="center"/>
            <w:shd w:fill="003B36"/>
          </w:tcPr>
          <w:p>
            <w:r>
              <w:rPr>
                <w:b/>
                <w:color w:val="FFFFFF"/>
                <w:sz w:val="18"/>
              </w:rPr>
              <w:t>Core job</w:t>
            </w:r>
          </w:p>
        </w:tc>
      </w:tr>
      <w:tr>
        <w:trPr>
          <w:cantSplit/>
        </w:trPr>
        <w:tc>
          <w:tcPr>
            <w:tcW w:type="dxa" w:w="2400"/>
            <w:tcMar>
              <w:top w:w="80" w:type="dxa"/>
              <w:start w:w="120" w:type="dxa"/>
              <w:bottom w:w="80" w:type="dxa"/>
              <w:end w:w="120" w:type="dxa"/>
            </w:tcMar>
            <w:vAlign w:val="center"/>
          </w:tcPr>
          <w:p>
            <w:pPr>
              <w:spacing w:after="40"/>
            </w:pPr>
            <w:r>
              <w:rPr>
                <w:sz w:val="18"/>
              </w:rPr>
              <w:t>Everyday creator</w:t>
            </w:r>
          </w:p>
        </w:tc>
        <w:tc>
          <w:tcPr>
            <w:tcW w:type="dxa" w:w="6960"/>
            <w:tcMar>
              <w:top w:w="80" w:type="dxa"/>
              <w:start w:w="120" w:type="dxa"/>
              <w:bottom w:w="80" w:type="dxa"/>
              <w:end w:w="120" w:type="dxa"/>
            </w:tcMar>
            <w:vAlign w:val="center"/>
          </w:tcPr>
          <w:p>
            <w:pPr>
              <w:spacing w:after="40"/>
            </w:pPr>
            <w:r>
              <w:rPr>
                <w:sz w:val="18"/>
              </w:rPr>
              <w:t>Writes a short note, chooses a language/voice mode, previews it, and shares it to a friend.</w:t>
            </w:r>
          </w:p>
        </w:tc>
      </w:tr>
      <w:tr>
        <w:trPr>
          <w:cantSplit/>
        </w:trPr>
        <w:tc>
          <w:tcPr>
            <w:tcW w:type="dxa" w:w="2400"/>
            <w:tcMar>
              <w:top w:w="80" w:type="dxa"/>
              <w:start w:w="120" w:type="dxa"/>
              <w:bottom w:w="80" w:type="dxa"/>
              <w:end w:w="120" w:type="dxa"/>
            </w:tcMar>
            <w:vAlign w:val="center"/>
          </w:tcPr>
          <w:p>
            <w:pPr>
              <w:spacing w:after="40"/>
            </w:pPr>
            <w:r>
              <w:rPr>
                <w:sz w:val="18"/>
              </w:rPr>
              <w:t>Channel listener</w:t>
            </w:r>
          </w:p>
        </w:tc>
        <w:tc>
          <w:tcPr>
            <w:tcW w:type="dxa" w:w="6960"/>
            <w:tcMar>
              <w:top w:w="80" w:type="dxa"/>
              <w:start w:w="120" w:type="dxa"/>
              <w:bottom w:w="80" w:type="dxa"/>
              <w:end w:w="120" w:type="dxa"/>
            </w:tcMar>
            <w:vAlign w:val="center"/>
          </w:tcPr>
          <w:p>
            <w:pPr>
              <w:spacing w:after="40"/>
            </w:pPr>
            <w:r>
              <w:rPr>
                <w:sz w:val="18"/>
              </w:rPr>
              <w:t>Follows useful Nigerian audio updates and controls app versus WhatsApp delivery.</w:t>
            </w:r>
          </w:p>
        </w:tc>
      </w:tr>
      <w:tr>
        <w:trPr>
          <w:cantSplit/>
        </w:trPr>
        <w:tc>
          <w:tcPr>
            <w:tcW w:type="dxa" w:w="2400"/>
            <w:tcMar>
              <w:top w:w="80" w:type="dxa"/>
              <w:start w:w="120" w:type="dxa"/>
              <w:bottom w:w="80" w:type="dxa"/>
              <w:end w:w="120" w:type="dxa"/>
            </w:tcMar>
            <w:vAlign w:val="center"/>
          </w:tcPr>
          <w:p>
            <w:pPr>
              <w:spacing w:after="40"/>
            </w:pPr>
            <w:r>
              <w:rPr>
                <w:sz w:val="18"/>
              </w:rPr>
              <w:t>Publisher/editor</w:t>
            </w:r>
          </w:p>
        </w:tc>
        <w:tc>
          <w:tcPr>
            <w:tcW w:type="dxa" w:w="6960"/>
            <w:tcMar>
              <w:top w:w="80" w:type="dxa"/>
              <w:start w:w="120" w:type="dxa"/>
              <w:bottom w:w="80" w:type="dxa"/>
              <w:end w:w="120" w:type="dxa"/>
            </w:tcMar>
            <w:vAlign w:val="center"/>
          </w:tcPr>
          <w:p>
            <w:pPr>
              <w:spacing w:after="40"/>
            </w:pPr>
            <w:r>
              <w:rPr>
                <w:sz w:val="18"/>
              </w:rPr>
              <w:t>Produces attributable, reviewed episodes and owns corrections and takedowns.</w:t>
            </w:r>
          </w:p>
        </w:tc>
      </w:tr>
      <w:tr>
        <w:trPr>
          <w:cantSplit/>
        </w:trPr>
        <w:tc>
          <w:tcPr>
            <w:tcW w:type="dxa" w:w="2400"/>
            <w:tcMar>
              <w:top w:w="80" w:type="dxa"/>
              <w:start w:w="120" w:type="dxa"/>
              <w:bottom w:w="80" w:type="dxa"/>
              <w:end w:w="120" w:type="dxa"/>
            </w:tcMar>
            <w:vAlign w:val="center"/>
          </w:tcPr>
          <w:p>
            <w:pPr>
              <w:spacing w:after="40"/>
            </w:pPr>
            <w:r>
              <w:rPr>
                <w:sz w:val="18"/>
              </w:rPr>
              <w:t>Companion user</w:t>
            </w:r>
          </w:p>
        </w:tc>
        <w:tc>
          <w:tcPr>
            <w:tcW w:type="dxa" w:w="6960"/>
            <w:tcMar>
              <w:top w:w="80" w:type="dxa"/>
              <w:start w:w="120" w:type="dxa"/>
              <w:bottom w:w="80" w:type="dxa"/>
              <w:end w:w="120" w:type="dxa"/>
            </w:tcMar>
            <w:vAlign w:val="center"/>
          </w:tcPr>
          <w:p>
            <w:pPr>
              <w:spacing w:after="40"/>
            </w:pPr>
            <w:r>
              <w:rPr>
                <w:sz w:val="18"/>
              </w:rPr>
              <w:t>Uses a fictional AI companion privately and expects honest boundaries and data control.</w:t>
            </w:r>
          </w:p>
        </w:tc>
      </w:tr>
      <w:tr>
        <w:trPr>
          <w:cantSplit/>
        </w:trPr>
        <w:tc>
          <w:tcPr>
            <w:tcW w:type="dxa" w:w="2400"/>
            <w:tcMar>
              <w:top w:w="80" w:type="dxa"/>
              <w:start w:w="120" w:type="dxa"/>
              <w:bottom w:w="80" w:type="dxa"/>
              <w:end w:w="120" w:type="dxa"/>
            </w:tcMar>
            <w:vAlign w:val="center"/>
          </w:tcPr>
          <w:p>
            <w:pPr>
              <w:spacing w:after="40"/>
            </w:pPr>
            <w:r>
              <w:rPr>
                <w:sz w:val="18"/>
              </w:rPr>
              <w:t>Operations and safety team</w:t>
            </w:r>
          </w:p>
        </w:tc>
        <w:tc>
          <w:tcPr>
            <w:tcW w:type="dxa" w:w="6960"/>
            <w:tcMar>
              <w:top w:w="80" w:type="dxa"/>
              <w:start w:w="120" w:type="dxa"/>
              <w:bottom w:w="80" w:type="dxa"/>
              <w:end w:w="120" w:type="dxa"/>
            </w:tcMar>
            <w:vAlign w:val="center"/>
          </w:tcPr>
          <w:p>
            <w:pPr>
              <w:spacing w:after="40"/>
            </w:pPr>
            <w:r>
              <w:rPr>
                <w:sz w:val="18"/>
              </w:rPr>
              <w:t>Monitors provider, delivery, consent, editorial, privacy, and safety incidents.</w:t>
            </w:r>
          </w:p>
        </w:tc>
      </w:tr>
    </w:tbl>
    <w:p>
      <w:pPr>
        <w:pStyle w:val="Heading2"/>
        <w:keepNext/>
      </w:pPr>
      <w:r>
        <w:t>Product principles</w:t>
      </w:r>
    </w:p>
    <w:p>
      <w:pPr>
        <w:pStyle w:val="ListNumber"/>
      </w:pPr>
      <w:r>
        <w:t>Make the source and nature of a voice explicit.</w:t>
      </w:r>
    </w:p>
    <w:p>
      <w:pPr>
        <w:pStyle w:val="ListNumber"/>
      </w:pPr>
      <w:r>
        <w:t>Keep creation reversible: preview, edit, save, delete, then share.</w:t>
      </w:r>
    </w:p>
    <w:p>
      <w:pPr>
        <w:pStyle w:val="ListNumber"/>
      </w:pPr>
      <w:r>
        <w:t>Require consent at the boundary where distribution or intimacy changes.</w:t>
      </w:r>
    </w:p>
    <w:p>
      <w:pPr>
        <w:pStyle w:val="ListNumber"/>
      </w:pPr>
      <w:r>
        <w:t>Prefer asynchronous, idempotent operations for provider and delivery work.</w:t>
      </w:r>
    </w:p>
    <w:p>
      <w:pPr>
        <w:pStyle w:val="ListNumber"/>
      </w:pPr>
      <w:r>
        <w:t>Collect the minimum data needed and keep message text/audio out of logs and analytics.</w:t>
      </w:r>
    </w:p>
    <w:p>
      <w:pPr>
        <w:pStyle w:val="ListNumber"/>
      </w:pPr>
      <w:r>
        <w:t>Gate expansion using measured language quality, safety, reliability, and cost.</w:t>
      </w:r>
    </w:p>
    <w:p>
      <w:pPr>
        <w:pStyle w:val="Heading2"/>
        <w:keepNext/>
      </w:pPr>
      <w:r>
        <w:t>Goals and non-goals</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4680"/>
        <w:gridCol w:w="4680"/>
      </w:tblGrid>
      <w:tr>
        <w:trPr>
          <w:tblHeader w:val="true"/>
          <w:cantSplit/>
        </w:trPr>
        <w:tc>
          <w:tcPr>
            <w:tcW w:type="dxa" w:w="4680"/>
            <w:tcMar>
              <w:top w:w="80" w:type="dxa"/>
              <w:start w:w="120" w:type="dxa"/>
              <w:bottom w:w="80" w:type="dxa"/>
              <w:end w:w="120" w:type="dxa"/>
            </w:tcMar>
            <w:vAlign w:val="center"/>
            <w:shd w:fill="003B36"/>
          </w:tcPr>
          <w:p>
            <w:r>
              <w:rPr>
                <w:b/>
                <w:color w:val="FFFFFF"/>
                <w:sz w:val="18"/>
              </w:rPr>
              <w:t>Goals</w:t>
            </w:r>
          </w:p>
        </w:tc>
        <w:tc>
          <w:tcPr>
            <w:tcW w:type="dxa" w:w="4680"/>
            <w:tcMar>
              <w:top w:w="80" w:type="dxa"/>
              <w:start w:w="120" w:type="dxa"/>
              <w:bottom w:w="80" w:type="dxa"/>
              <w:end w:w="120" w:type="dxa"/>
            </w:tcMar>
            <w:vAlign w:val="center"/>
            <w:shd w:fill="003B36"/>
          </w:tcPr>
          <w:p>
            <w:r>
              <w:rPr>
                <w:b/>
                <w:color w:val="FFFFFF"/>
                <w:sz w:val="18"/>
              </w:rPr>
              <w:t>Non-goals for launch</w:t>
            </w:r>
          </w:p>
        </w:tc>
      </w:tr>
      <w:tr>
        <w:trPr>
          <w:cantSplit/>
        </w:trPr>
        <w:tc>
          <w:tcPr>
            <w:tcW w:type="dxa" w:w="4680"/>
            <w:tcMar>
              <w:top w:w="80" w:type="dxa"/>
              <w:start w:w="120" w:type="dxa"/>
              <w:bottom w:w="80" w:type="dxa"/>
              <w:end w:w="120" w:type="dxa"/>
            </w:tcMar>
            <w:vAlign w:val="center"/>
          </w:tcPr>
          <w:p>
            <w:pPr>
              <w:spacing w:after="40"/>
            </w:pPr>
            <w:r>
              <w:rPr>
                <w:sz w:val="18"/>
              </w:rPr>
              <w:t>Five distinct language choices and Pidgin translation</w:t>
            </w:r>
          </w:p>
        </w:tc>
        <w:tc>
          <w:tcPr>
            <w:tcW w:type="dxa" w:w="4680"/>
            <w:tcMar>
              <w:top w:w="80" w:type="dxa"/>
              <w:start w:w="120" w:type="dxa"/>
              <w:bottom w:w="80" w:type="dxa"/>
              <w:end w:w="120" w:type="dxa"/>
            </w:tcMar>
            <w:vAlign w:val="center"/>
          </w:tcPr>
          <w:p>
            <w:pPr>
              <w:spacing w:after="40"/>
            </w:pPr>
            <w:r>
              <w:rPr>
                <w:sz w:val="18"/>
              </w:rPr>
              <w:t>Celebrity or public-figure voice cloning</w:t>
            </w:r>
          </w:p>
        </w:tc>
      </w:tr>
      <w:tr>
        <w:trPr>
          <w:cantSplit/>
        </w:trPr>
        <w:tc>
          <w:tcPr>
            <w:tcW w:type="dxa" w:w="4680"/>
            <w:tcMar>
              <w:top w:w="80" w:type="dxa"/>
              <w:start w:w="120" w:type="dxa"/>
              <w:bottom w:w="80" w:type="dxa"/>
              <w:end w:w="120" w:type="dxa"/>
            </w:tcMar>
            <w:vAlign w:val="center"/>
          </w:tcPr>
          <w:p>
            <w:pPr>
              <w:spacing w:after="40"/>
            </w:pPr>
            <w:r>
              <w:rPr>
                <w:sz w:val="18"/>
              </w:rPr>
              <w:t>Device and cloud voice modes with clear behavior</w:t>
            </w:r>
          </w:p>
        </w:tc>
        <w:tc>
          <w:tcPr>
            <w:tcW w:type="dxa" w:w="4680"/>
            <w:tcMar>
              <w:top w:w="80" w:type="dxa"/>
              <w:start w:w="120" w:type="dxa"/>
              <w:bottom w:w="80" w:type="dxa"/>
              <w:end w:w="120" w:type="dxa"/>
            </w:tcMar>
            <w:vAlign w:val="center"/>
          </w:tcPr>
          <w:p>
            <w:pPr>
              <w:spacing w:after="40"/>
            </w:pPr>
            <w:r>
              <w:rPr>
                <w:sz w:val="18"/>
              </w:rPr>
              <w:t>Extracting or redistributing Android TTS voice models</w:t>
            </w:r>
          </w:p>
        </w:tc>
      </w:tr>
      <w:tr>
        <w:trPr>
          <w:cantSplit/>
        </w:trPr>
        <w:tc>
          <w:tcPr>
            <w:tcW w:type="dxa" w:w="4680"/>
            <w:tcMar>
              <w:top w:w="80" w:type="dxa"/>
              <w:start w:w="120" w:type="dxa"/>
              <w:bottom w:w="80" w:type="dxa"/>
              <w:end w:w="120" w:type="dxa"/>
            </w:tcMar>
            <w:vAlign w:val="center"/>
          </w:tcPr>
          <w:p>
            <w:pPr>
              <w:spacing w:after="40"/>
            </w:pPr>
            <w:r>
              <w:rPr>
                <w:sz w:val="18"/>
              </w:rPr>
              <w:t>Ogg/Opus preview, save, and sharing</w:t>
            </w:r>
          </w:p>
        </w:tc>
        <w:tc>
          <w:tcPr>
            <w:tcW w:type="dxa" w:w="4680"/>
            <w:tcMar>
              <w:top w:w="80" w:type="dxa"/>
              <w:start w:w="120" w:type="dxa"/>
              <w:bottom w:w="80" w:type="dxa"/>
              <w:end w:w="120" w:type="dxa"/>
            </w:tcMar>
            <w:vAlign w:val="center"/>
          </w:tcPr>
          <w:p>
            <w:pPr>
              <w:spacing w:after="40"/>
            </w:pPr>
            <w:r>
              <w:rPr>
                <w:sz w:val="18"/>
              </w:rPr>
              <w:t>Guaranteeing native WhatsApp voice-note bubbles via share intent</w:t>
            </w:r>
          </w:p>
        </w:tc>
      </w:tr>
      <w:tr>
        <w:trPr>
          <w:cantSplit/>
        </w:trPr>
        <w:tc>
          <w:tcPr>
            <w:tcW w:type="dxa" w:w="4680"/>
            <w:tcMar>
              <w:top w:w="80" w:type="dxa"/>
              <w:start w:w="120" w:type="dxa"/>
              <w:bottom w:w="80" w:type="dxa"/>
              <w:end w:w="120" w:type="dxa"/>
            </w:tcMar>
            <w:vAlign w:val="center"/>
          </w:tcPr>
          <w:p>
            <w:pPr>
              <w:spacing w:after="40"/>
            </w:pPr>
            <w:r>
              <w:rPr>
                <w:sz w:val="18"/>
              </w:rPr>
              <w:t>Reviewed channels with separate WhatsApp consent</w:t>
            </w:r>
          </w:p>
        </w:tc>
        <w:tc>
          <w:tcPr>
            <w:tcW w:type="dxa" w:w="4680"/>
            <w:tcMar>
              <w:top w:w="80" w:type="dxa"/>
              <w:start w:w="120" w:type="dxa"/>
              <w:bottom w:w="80" w:type="dxa"/>
              <w:end w:w="120" w:type="dxa"/>
            </w:tcMar>
            <w:vAlign w:val="center"/>
          </w:tcPr>
          <w:p>
            <w:pPr>
              <w:spacing w:after="40"/>
            </w:pPr>
            <w:r>
              <w:rPr>
                <w:sz w:val="18"/>
              </w:rPr>
              <w:t>Scraping or republishing unlicensed gossip feeds</w:t>
            </w:r>
          </w:p>
        </w:tc>
      </w:tr>
      <w:tr>
        <w:trPr>
          <w:cantSplit/>
        </w:trPr>
        <w:tc>
          <w:tcPr>
            <w:tcW w:type="dxa" w:w="4680"/>
            <w:tcMar>
              <w:top w:w="80" w:type="dxa"/>
              <w:start w:w="120" w:type="dxa"/>
              <w:bottom w:w="80" w:type="dxa"/>
              <w:end w:w="120" w:type="dxa"/>
            </w:tcMar>
            <w:vAlign w:val="center"/>
          </w:tcPr>
          <w:p>
            <w:pPr>
              <w:spacing w:after="40"/>
            </w:pPr>
            <w:r>
              <w:rPr>
                <w:sz w:val="18"/>
              </w:rPr>
              <w:t>Private, disclosed, age-gated companion experiences</w:t>
            </w:r>
          </w:p>
        </w:tc>
        <w:tc>
          <w:tcPr>
            <w:tcW w:type="dxa" w:w="4680"/>
            <w:tcMar>
              <w:top w:w="80" w:type="dxa"/>
              <w:start w:w="120" w:type="dxa"/>
              <w:bottom w:w="80" w:type="dxa"/>
              <w:end w:w="120" w:type="dxa"/>
            </w:tcMar>
            <w:vAlign w:val="center"/>
          </w:tcPr>
          <w:p>
            <w:pPr>
              <w:spacing w:after="40"/>
            </w:pPr>
            <w:r>
              <w:rPr>
                <w:sz w:val="18"/>
              </w:rPr>
              <w:t>Open-ended companion behavior without safety classification</w:t>
            </w:r>
          </w:p>
        </w:tc>
      </w:tr>
      <w:tr>
        <w:trPr>
          <w:cantSplit/>
        </w:trPr>
        <w:tc>
          <w:tcPr>
            <w:tcW w:type="dxa" w:w="4680"/>
            <w:tcMar>
              <w:top w:w="80" w:type="dxa"/>
              <w:start w:w="120" w:type="dxa"/>
              <w:bottom w:w="80" w:type="dxa"/>
              <w:end w:w="120" w:type="dxa"/>
            </w:tcMar>
            <w:vAlign w:val="center"/>
          </w:tcPr>
          <w:p>
            <w:pPr>
              <w:spacing w:after="40"/>
            </w:pPr>
            <w:r>
              <w:rPr>
                <w:sz w:val="18"/>
              </w:rPr>
              <w:t>Production auth, observability, cost and safety gates</w:t>
            </w:r>
          </w:p>
        </w:tc>
        <w:tc>
          <w:tcPr>
            <w:tcW w:type="dxa" w:w="4680"/>
            <w:tcMar>
              <w:top w:w="80" w:type="dxa"/>
              <w:start w:w="120" w:type="dxa"/>
              <w:bottom w:w="80" w:type="dxa"/>
              <w:end w:w="120" w:type="dxa"/>
            </w:tcMar>
            <w:vAlign w:val="center"/>
          </w:tcPr>
          <w:p>
            <w:pPr>
              <w:spacing w:after="40"/>
            </w:pPr>
            <w:r>
              <w:rPr>
                <w:sz w:val="18"/>
              </w:rPr>
              <w:t>Promising a fixed $5 production bill independent of usage</w:t>
            </w:r>
          </w:p>
        </w:tc>
      </w:tr>
    </w:tbl>
    <w:p>
      <w:pPr>
        <w:pStyle w:val="Heading1"/>
        <w:keepNext/>
      </w:pPr>
      <w:r>
        <w:t>3. Product scope and primary flows</w:t>
      </w:r>
    </w:p>
    <w:p>
      <w:pPr>
        <w:pStyle w:val="Heading2"/>
        <w:keepNext/>
      </w:pPr>
      <w:r>
        <w:t>Create and share</w:t>
      </w:r>
    </w:p>
    <w:p>
      <w:r>
        <w:t>Choose language → choose Device voice or Voice Hub voice → write/edit prompt → optionally translate to Pidgin → generate → validate → preview → save or share → disclose AI-generated audio.</w:t>
      </w:r>
    </w:p>
    <w:p>
      <w:pPr>
        <w:pStyle w:val="Heading2"/>
        <w:keepNext/>
      </w:pPr>
      <w:r>
        <w:t>Follow a channel</w:t>
      </w:r>
    </w:p>
    <w:p>
      <w:r>
        <w:t>Browse channel catalog → inspect source/category/language → follow in app → receive feed episode → play → optionally complete separate WhatsApp consent → receive/reconcile delivery → STOP at any time.</w:t>
      </w:r>
    </w:p>
    <w:p>
      <w:pPr>
        <w:pStyle w:val="Heading2"/>
        <w:keepNext/>
      </w:pPr>
      <w:r>
        <w:t>Publish an episode</w:t>
      </w:r>
    </w:p>
    <w:p>
      <w:r>
        <w:t>Publisher submits reviewed script, source, language, voice, and idempotency key → API commits episode/job → worker synthesizes and validates media → immutable upload → outbox event → feed and consented delivery.</w:t>
      </w:r>
    </w:p>
    <w:p>
      <w:pPr>
        <w:pStyle w:val="Heading2"/>
        <w:keepNext/>
      </w:pPr>
      <w:r>
        <w:t>Use a companion</w:t>
      </w:r>
    </w:p>
    <w:p>
      <w:r>
        <w:t>Choose fictional profile → see AI disclosure → complete adult assurance for romantic profile → open owner-private thread → send turn → generate and safety-check response → persist → optionally synthesize voice → block/report/export/delete at any time.</w:t>
      </w:r>
    </w:p>
    <w:p>
      <w:pPr>
        <w:pStyle w:val="Heading2"/>
        <w:keepNext/>
      </w:pPr>
      <w:r>
        <w:t>Language and voice-mode contract</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1750"/>
        <w:gridCol w:w="1350"/>
        <w:gridCol w:w="2250"/>
        <w:gridCol w:w="1900"/>
        <w:gridCol w:w="2110"/>
      </w:tblGrid>
      <w:tr>
        <w:trPr>
          <w:tblHeader w:val="true"/>
          <w:cantSplit/>
        </w:trPr>
        <w:tc>
          <w:tcPr>
            <w:tcW w:type="dxa" w:w="1750"/>
            <w:tcMar>
              <w:top w:w="80" w:type="dxa"/>
              <w:start w:w="120" w:type="dxa"/>
              <w:bottom w:w="80" w:type="dxa"/>
              <w:end w:w="120" w:type="dxa"/>
            </w:tcMar>
            <w:vAlign w:val="center"/>
            <w:shd w:fill="003B36"/>
          </w:tcPr>
          <w:p>
            <w:r>
              <w:rPr>
                <w:b/>
                <w:color w:val="FFFFFF"/>
                <w:sz w:val="18"/>
              </w:rPr>
              <w:t>Choice</w:t>
            </w:r>
          </w:p>
        </w:tc>
        <w:tc>
          <w:tcPr>
            <w:tcW w:type="dxa" w:w="1350"/>
            <w:tcMar>
              <w:top w:w="80" w:type="dxa"/>
              <w:start w:w="120" w:type="dxa"/>
              <w:bottom w:w="80" w:type="dxa"/>
              <w:end w:w="120" w:type="dxa"/>
            </w:tcMar>
            <w:vAlign w:val="center"/>
            <w:shd w:fill="003B36"/>
          </w:tcPr>
          <w:p>
            <w:r>
              <w:rPr>
                <w:b/>
                <w:color w:val="FFFFFF"/>
                <w:sz w:val="18"/>
              </w:rPr>
              <w:t>Code</w:t>
            </w:r>
          </w:p>
        </w:tc>
        <w:tc>
          <w:tcPr>
            <w:tcW w:type="dxa" w:w="2250"/>
            <w:tcMar>
              <w:top w:w="80" w:type="dxa"/>
              <w:start w:w="120" w:type="dxa"/>
              <w:bottom w:w="80" w:type="dxa"/>
              <w:end w:w="120" w:type="dxa"/>
            </w:tcMar>
            <w:vAlign w:val="center"/>
            <w:shd w:fill="003B36"/>
          </w:tcPr>
          <w:p>
            <w:r>
              <w:rPr>
                <w:b/>
                <w:color w:val="FFFFFF"/>
                <w:sz w:val="18"/>
              </w:rPr>
              <w:t>Device voice</w:t>
            </w:r>
          </w:p>
        </w:tc>
        <w:tc>
          <w:tcPr>
            <w:tcW w:type="dxa" w:w="1900"/>
            <w:tcMar>
              <w:top w:w="80" w:type="dxa"/>
              <w:start w:w="120" w:type="dxa"/>
              <w:bottom w:w="80" w:type="dxa"/>
              <w:end w:w="120" w:type="dxa"/>
            </w:tcMar>
            <w:vAlign w:val="center"/>
            <w:shd w:fill="003B36"/>
          </w:tcPr>
          <w:p>
            <w:r>
              <w:rPr>
                <w:b/>
                <w:color w:val="FFFFFF"/>
                <w:sz w:val="18"/>
              </w:rPr>
              <w:t>Voice Hub voice</w:t>
            </w:r>
          </w:p>
        </w:tc>
        <w:tc>
          <w:tcPr>
            <w:tcW w:type="dxa" w:w="2110"/>
            <w:tcMar>
              <w:top w:w="80" w:type="dxa"/>
              <w:start w:w="120" w:type="dxa"/>
              <w:bottom w:w="80" w:type="dxa"/>
              <w:end w:w="120" w:type="dxa"/>
            </w:tcMar>
            <w:vAlign w:val="center"/>
            <w:shd w:fill="003B36"/>
          </w:tcPr>
          <w:p>
            <w:r>
              <w:rPr>
                <w:b/>
                <w:color w:val="FFFFFF"/>
                <w:sz w:val="18"/>
              </w:rPr>
              <w:t>Translation</w:t>
            </w:r>
          </w:p>
        </w:tc>
      </w:tr>
      <w:tr>
        <w:trPr>
          <w:cantSplit/>
        </w:trPr>
        <w:tc>
          <w:tcPr>
            <w:tcW w:type="dxa" w:w="1750"/>
            <w:tcMar>
              <w:top w:w="80" w:type="dxa"/>
              <w:start w:w="120" w:type="dxa"/>
              <w:bottom w:w="80" w:type="dxa"/>
              <w:end w:w="120" w:type="dxa"/>
            </w:tcMar>
            <w:vAlign w:val="center"/>
          </w:tcPr>
          <w:p>
            <w:pPr>
              <w:spacing w:after="40"/>
            </w:pPr>
            <w:r>
              <w:rPr>
                <w:sz w:val="18"/>
              </w:rPr>
              <w:t>English (Nigeria)</w:t>
            </w:r>
          </w:p>
        </w:tc>
        <w:tc>
          <w:tcPr>
            <w:tcW w:type="dxa" w:w="1350"/>
            <w:tcMar>
              <w:top w:w="80" w:type="dxa"/>
              <w:start w:w="120" w:type="dxa"/>
              <w:bottom w:w="80" w:type="dxa"/>
              <w:end w:w="120" w:type="dxa"/>
            </w:tcMar>
            <w:vAlign w:val="center"/>
          </w:tcPr>
          <w:p>
            <w:pPr>
              <w:spacing w:after="40"/>
            </w:pPr>
            <w:r>
              <w:rPr>
                <w:sz w:val="18"/>
              </w:rPr>
              <w:t>en-NG</w:t>
            </w:r>
          </w:p>
        </w:tc>
        <w:tc>
          <w:tcPr>
            <w:tcW w:type="dxa" w:w="2250"/>
            <w:tcMar>
              <w:top w:w="80" w:type="dxa"/>
              <w:start w:w="120" w:type="dxa"/>
              <w:bottom w:w="80" w:type="dxa"/>
              <w:end w:w="120" w:type="dxa"/>
            </w:tcMar>
            <w:vAlign w:val="center"/>
          </w:tcPr>
          <w:p>
            <w:pPr>
              <w:spacing w:after="40"/>
            </w:pPr>
            <w:r>
              <w:rPr>
                <w:sz w:val="18"/>
              </w:rPr>
              <w:t>Engine-dependent</w:t>
            </w:r>
          </w:p>
        </w:tc>
        <w:tc>
          <w:tcPr>
            <w:tcW w:type="dxa" w:w="1900"/>
            <w:tcMar>
              <w:top w:w="80" w:type="dxa"/>
              <w:start w:w="120" w:type="dxa"/>
              <w:bottom w:w="80" w:type="dxa"/>
              <w:end w:w="120" w:type="dxa"/>
            </w:tcMar>
            <w:vAlign w:val="center"/>
          </w:tcPr>
          <w:p>
            <w:pPr>
              <w:spacing w:after="40"/>
            </w:pPr>
            <w:r>
              <w:rPr>
                <w:sz w:val="18"/>
              </w:rPr>
              <w:t>Spitch profile</w:t>
            </w:r>
          </w:p>
        </w:tc>
        <w:tc>
          <w:tcPr>
            <w:tcW w:type="dxa" w:w="2110"/>
            <w:tcMar>
              <w:top w:w="80" w:type="dxa"/>
              <w:start w:w="120" w:type="dxa"/>
              <w:bottom w:w="80" w:type="dxa"/>
              <w:end w:w="120" w:type="dxa"/>
            </w:tcMar>
            <w:vAlign w:val="center"/>
          </w:tcPr>
          <w:p>
            <w:pPr>
              <w:spacing w:after="40"/>
            </w:pPr>
            <w:r>
              <w:rPr>
                <w:sz w:val="18"/>
              </w:rPr>
              <w:t>Source or target</w:t>
            </w:r>
          </w:p>
        </w:tc>
      </w:tr>
      <w:tr>
        <w:trPr>
          <w:cantSplit/>
        </w:trPr>
        <w:tc>
          <w:tcPr>
            <w:tcW w:type="dxa" w:w="1750"/>
            <w:tcMar>
              <w:top w:w="80" w:type="dxa"/>
              <w:start w:w="120" w:type="dxa"/>
              <w:bottom w:w="80" w:type="dxa"/>
              <w:end w:w="120" w:type="dxa"/>
            </w:tcMar>
            <w:vAlign w:val="center"/>
          </w:tcPr>
          <w:p>
            <w:pPr>
              <w:spacing w:after="40"/>
            </w:pPr>
            <w:r>
              <w:rPr>
                <w:sz w:val="18"/>
              </w:rPr>
              <w:t>Naija Pidgin</w:t>
            </w:r>
          </w:p>
        </w:tc>
        <w:tc>
          <w:tcPr>
            <w:tcW w:type="dxa" w:w="1350"/>
            <w:tcMar>
              <w:top w:w="80" w:type="dxa"/>
              <w:start w:w="120" w:type="dxa"/>
              <w:bottom w:w="80" w:type="dxa"/>
              <w:end w:w="120" w:type="dxa"/>
            </w:tcMar>
            <w:vAlign w:val="center"/>
          </w:tcPr>
          <w:p>
            <w:pPr>
              <w:spacing w:after="40"/>
            </w:pPr>
            <w:r>
              <w:rPr>
                <w:sz w:val="18"/>
              </w:rPr>
              <w:t>pcm-NG / pcm</w:t>
            </w:r>
          </w:p>
        </w:tc>
        <w:tc>
          <w:tcPr>
            <w:tcW w:type="dxa" w:w="2250"/>
            <w:tcMar>
              <w:top w:w="80" w:type="dxa"/>
              <w:start w:w="120" w:type="dxa"/>
              <w:bottom w:w="80" w:type="dxa"/>
              <w:end w:w="120" w:type="dxa"/>
            </w:tcMar>
            <w:vAlign w:val="center"/>
          </w:tcPr>
          <w:p>
            <w:pPr>
              <w:spacing w:after="40"/>
            </w:pPr>
            <w:r>
              <w:rPr>
                <w:sz w:val="18"/>
              </w:rPr>
              <w:t>May map to en-NG; label limitation</w:t>
            </w:r>
          </w:p>
        </w:tc>
        <w:tc>
          <w:tcPr>
            <w:tcW w:type="dxa" w:w="1900"/>
            <w:tcMar>
              <w:top w:w="80" w:type="dxa"/>
              <w:start w:w="120" w:type="dxa"/>
              <w:bottom w:w="80" w:type="dxa"/>
              <w:end w:w="120" w:type="dxa"/>
            </w:tcMar>
            <w:vAlign w:val="center"/>
          </w:tcPr>
          <w:p>
            <w:pPr>
              <w:spacing w:after="40"/>
            </w:pPr>
            <w:r>
              <w:rPr>
                <w:sz w:val="18"/>
              </w:rPr>
              <w:t>Spitch profile</w:t>
            </w:r>
          </w:p>
        </w:tc>
        <w:tc>
          <w:tcPr>
            <w:tcW w:type="dxa" w:w="2110"/>
            <w:tcMar>
              <w:top w:w="80" w:type="dxa"/>
              <w:start w:w="120" w:type="dxa"/>
              <w:bottom w:w="80" w:type="dxa"/>
              <w:end w:w="120" w:type="dxa"/>
            </w:tcMar>
            <w:vAlign w:val="center"/>
          </w:tcPr>
          <w:p>
            <w:pPr>
              <w:spacing w:after="40"/>
            </w:pPr>
            <w:r>
              <w:rPr>
                <w:sz w:val="18"/>
              </w:rPr>
              <w:t>Primary target</w:t>
            </w:r>
          </w:p>
        </w:tc>
      </w:tr>
      <w:tr>
        <w:trPr>
          <w:cantSplit/>
        </w:trPr>
        <w:tc>
          <w:tcPr>
            <w:tcW w:type="dxa" w:w="1750"/>
            <w:tcMar>
              <w:top w:w="80" w:type="dxa"/>
              <w:start w:w="120" w:type="dxa"/>
              <w:bottom w:w="80" w:type="dxa"/>
              <w:end w:w="120" w:type="dxa"/>
            </w:tcMar>
            <w:vAlign w:val="center"/>
          </w:tcPr>
          <w:p>
            <w:pPr>
              <w:spacing w:after="40"/>
            </w:pPr>
            <w:r>
              <w:rPr>
                <w:sz w:val="18"/>
              </w:rPr>
              <w:t>Yorùbá</w:t>
            </w:r>
          </w:p>
        </w:tc>
        <w:tc>
          <w:tcPr>
            <w:tcW w:type="dxa" w:w="1350"/>
            <w:tcMar>
              <w:top w:w="80" w:type="dxa"/>
              <w:start w:w="120" w:type="dxa"/>
              <w:bottom w:w="80" w:type="dxa"/>
              <w:end w:w="120" w:type="dxa"/>
            </w:tcMar>
            <w:vAlign w:val="center"/>
          </w:tcPr>
          <w:p>
            <w:pPr>
              <w:spacing w:after="40"/>
            </w:pPr>
            <w:r>
              <w:rPr>
                <w:sz w:val="18"/>
              </w:rPr>
              <w:t>yo-NG / yo</w:t>
            </w:r>
          </w:p>
        </w:tc>
        <w:tc>
          <w:tcPr>
            <w:tcW w:type="dxa" w:w="2250"/>
            <w:tcMar>
              <w:top w:w="80" w:type="dxa"/>
              <w:start w:w="120" w:type="dxa"/>
              <w:bottom w:w="80" w:type="dxa"/>
              <w:end w:w="120" w:type="dxa"/>
            </w:tcMar>
            <w:vAlign w:val="center"/>
          </w:tcPr>
          <w:p>
            <w:pPr>
              <w:spacing w:after="40"/>
            </w:pPr>
            <w:r>
              <w:rPr>
                <w:sz w:val="18"/>
              </w:rPr>
              <w:t>Engine-dependent</w:t>
            </w:r>
          </w:p>
        </w:tc>
        <w:tc>
          <w:tcPr>
            <w:tcW w:type="dxa" w:w="1900"/>
            <w:tcMar>
              <w:top w:w="80" w:type="dxa"/>
              <w:start w:w="120" w:type="dxa"/>
              <w:bottom w:w="80" w:type="dxa"/>
              <w:end w:w="120" w:type="dxa"/>
            </w:tcMar>
            <w:vAlign w:val="center"/>
          </w:tcPr>
          <w:p>
            <w:pPr>
              <w:spacing w:after="40"/>
            </w:pPr>
            <w:r>
              <w:rPr>
                <w:sz w:val="18"/>
              </w:rPr>
              <w:t>Spitch profile</w:t>
            </w:r>
          </w:p>
        </w:tc>
        <w:tc>
          <w:tcPr>
            <w:tcW w:type="dxa" w:w="2110"/>
            <w:tcMar>
              <w:top w:w="80" w:type="dxa"/>
              <w:start w:w="120" w:type="dxa"/>
              <w:bottom w:w="80" w:type="dxa"/>
              <w:end w:w="120" w:type="dxa"/>
            </w:tcMar>
            <w:vAlign w:val="center"/>
          </w:tcPr>
          <w:p>
            <w:pPr>
              <w:spacing w:after="40"/>
            </w:pPr>
            <w:r>
              <w:rPr>
                <w:sz w:val="18"/>
              </w:rPr>
              <w:t>Source or target</w:t>
            </w:r>
          </w:p>
        </w:tc>
      </w:tr>
      <w:tr>
        <w:trPr>
          <w:cantSplit/>
        </w:trPr>
        <w:tc>
          <w:tcPr>
            <w:tcW w:type="dxa" w:w="1750"/>
            <w:tcMar>
              <w:top w:w="80" w:type="dxa"/>
              <w:start w:w="120" w:type="dxa"/>
              <w:bottom w:w="80" w:type="dxa"/>
              <w:end w:w="120" w:type="dxa"/>
            </w:tcMar>
            <w:vAlign w:val="center"/>
          </w:tcPr>
          <w:p>
            <w:pPr>
              <w:spacing w:after="40"/>
            </w:pPr>
            <w:r>
              <w:rPr>
                <w:sz w:val="18"/>
              </w:rPr>
              <w:t>Hausa</w:t>
            </w:r>
          </w:p>
        </w:tc>
        <w:tc>
          <w:tcPr>
            <w:tcW w:type="dxa" w:w="1350"/>
            <w:tcMar>
              <w:top w:w="80" w:type="dxa"/>
              <w:start w:w="120" w:type="dxa"/>
              <w:bottom w:w="80" w:type="dxa"/>
              <w:end w:w="120" w:type="dxa"/>
            </w:tcMar>
            <w:vAlign w:val="center"/>
          </w:tcPr>
          <w:p>
            <w:pPr>
              <w:spacing w:after="40"/>
            </w:pPr>
            <w:r>
              <w:rPr>
                <w:sz w:val="18"/>
              </w:rPr>
              <w:t>ha-NG / ha</w:t>
            </w:r>
          </w:p>
        </w:tc>
        <w:tc>
          <w:tcPr>
            <w:tcW w:type="dxa" w:w="2250"/>
            <w:tcMar>
              <w:top w:w="80" w:type="dxa"/>
              <w:start w:w="120" w:type="dxa"/>
              <w:bottom w:w="80" w:type="dxa"/>
              <w:end w:w="120" w:type="dxa"/>
            </w:tcMar>
            <w:vAlign w:val="center"/>
          </w:tcPr>
          <w:p>
            <w:pPr>
              <w:spacing w:after="40"/>
            </w:pPr>
            <w:r>
              <w:rPr>
                <w:sz w:val="18"/>
              </w:rPr>
              <w:t>Engine-dependent</w:t>
            </w:r>
          </w:p>
        </w:tc>
        <w:tc>
          <w:tcPr>
            <w:tcW w:type="dxa" w:w="1900"/>
            <w:tcMar>
              <w:top w:w="80" w:type="dxa"/>
              <w:start w:w="120" w:type="dxa"/>
              <w:bottom w:w="80" w:type="dxa"/>
              <w:end w:w="120" w:type="dxa"/>
            </w:tcMar>
            <w:vAlign w:val="center"/>
          </w:tcPr>
          <w:p>
            <w:pPr>
              <w:spacing w:after="40"/>
            </w:pPr>
            <w:r>
              <w:rPr>
                <w:sz w:val="18"/>
              </w:rPr>
              <w:t>Spitch profile</w:t>
            </w:r>
          </w:p>
        </w:tc>
        <w:tc>
          <w:tcPr>
            <w:tcW w:type="dxa" w:w="2110"/>
            <w:tcMar>
              <w:top w:w="80" w:type="dxa"/>
              <w:start w:w="120" w:type="dxa"/>
              <w:bottom w:w="80" w:type="dxa"/>
              <w:end w:w="120" w:type="dxa"/>
            </w:tcMar>
            <w:vAlign w:val="center"/>
          </w:tcPr>
          <w:p>
            <w:pPr>
              <w:spacing w:after="40"/>
            </w:pPr>
            <w:r>
              <w:rPr>
                <w:sz w:val="18"/>
              </w:rPr>
              <w:t>Source or target</w:t>
            </w:r>
          </w:p>
        </w:tc>
      </w:tr>
      <w:tr>
        <w:trPr>
          <w:cantSplit/>
        </w:trPr>
        <w:tc>
          <w:tcPr>
            <w:tcW w:type="dxa" w:w="1750"/>
            <w:tcMar>
              <w:top w:w="80" w:type="dxa"/>
              <w:start w:w="120" w:type="dxa"/>
              <w:bottom w:w="80" w:type="dxa"/>
              <w:end w:w="120" w:type="dxa"/>
            </w:tcMar>
            <w:vAlign w:val="center"/>
          </w:tcPr>
          <w:p>
            <w:pPr>
              <w:spacing w:after="40"/>
            </w:pPr>
            <w:r>
              <w:rPr>
                <w:sz w:val="18"/>
              </w:rPr>
              <w:t>Igbo</w:t>
            </w:r>
          </w:p>
        </w:tc>
        <w:tc>
          <w:tcPr>
            <w:tcW w:type="dxa" w:w="1350"/>
            <w:tcMar>
              <w:top w:w="80" w:type="dxa"/>
              <w:start w:w="120" w:type="dxa"/>
              <w:bottom w:w="80" w:type="dxa"/>
              <w:end w:w="120" w:type="dxa"/>
            </w:tcMar>
            <w:vAlign w:val="center"/>
          </w:tcPr>
          <w:p>
            <w:pPr>
              <w:spacing w:after="40"/>
            </w:pPr>
            <w:r>
              <w:rPr>
                <w:sz w:val="18"/>
              </w:rPr>
              <w:t>ig-NG / ig</w:t>
            </w:r>
          </w:p>
        </w:tc>
        <w:tc>
          <w:tcPr>
            <w:tcW w:type="dxa" w:w="2250"/>
            <w:tcMar>
              <w:top w:w="80" w:type="dxa"/>
              <w:start w:w="120" w:type="dxa"/>
              <w:bottom w:w="80" w:type="dxa"/>
              <w:end w:w="120" w:type="dxa"/>
            </w:tcMar>
            <w:vAlign w:val="center"/>
          </w:tcPr>
          <w:p>
            <w:pPr>
              <w:spacing w:after="40"/>
            </w:pPr>
            <w:r>
              <w:rPr>
                <w:sz w:val="18"/>
              </w:rPr>
              <w:t>Engine-dependent</w:t>
            </w:r>
          </w:p>
        </w:tc>
        <w:tc>
          <w:tcPr>
            <w:tcW w:type="dxa" w:w="1900"/>
            <w:tcMar>
              <w:top w:w="80" w:type="dxa"/>
              <w:start w:w="120" w:type="dxa"/>
              <w:bottom w:w="80" w:type="dxa"/>
              <w:end w:w="120" w:type="dxa"/>
            </w:tcMar>
            <w:vAlign w:val="center"/>
          </w:tcPr>
          <w:p>
            <w:pPr>
              <w:spacing w:after="40"/>
            </w:pPr>
            <w:r>
              <w:rPr>
                <w:sz w:val="18"/>
              </w:rPr>
              <w:t>Spitch profile</w:t>
            </w:r>
          </w:p>
        </w:tc>
        <w:tc>
          <w:tcPr>
            <w:tcW w:type="dxa" w:w="2110"/>
            <w:tcMar>
              <w:top w:w="80" w:type="dxa"/>
              <w:start w:w="120" w:type="dxa"/>
              <w:bottom w:w="80" w:type="dxa"/>
              <w:end w:w="120" w:type="dxa"/>
            </w:tcMar>
            <w:vAlign w:val="center"/>
          </w:tcPr>
          <w:p>
            <w:pPr>
              <w:spacing w:after="40"/>
            </w:pPr>
            <w:r>
              <w:rPr>
                <w:sz w:val="18"/>
              </w:rPr>
              <w:t>Source or target</w:t>
            </w:r>
          </w:p>
        </w:tc>
      </w:tr>
    </w:tbl>
    <w:tbl>
      <w:tblPr>
        <w:tblW w:type="auto" w:w="0"/>
        <w:tblLayout w:type="fixed"/>
        <w:tblLook w:firstColumn="1" w:firstRow="1" w:lastColumn="0" w:lastRow="0" w:noHBand="0" w:noVBand="1" w:val="04A0"/>
        <w:tblBorders>
          <w:top w:val="single" w:sz="8" w:space="0" w:color="F5B942"/>
          <w:left w:val="single" w:sz="8" w:space="0" w:color="F5B942"/>
          <w:bottom w:val="single" w:sz="8" w:space="0" w:color="F5B942"/>
          <w:right w:val="single" w:sz="8" w:space="0" w:color="F5B942"/>
          <w:insideH w:val="single" w:sz="8" w:space="0" w:color="F5B942"/>
          <w:insideV w:val="single" w:sz="8" w:space="0" w:color="F5B942"/>
        </w:tblBorders>
      </w:tblPr>
      <w:tblGrid>
        <w:gridCol w:w="9360"/>
      </w:tblGrid>
      <w:tr>
        <w:tc>
          <w:tcPr>
            <w:tcW w:type="dxa" w:w="9360"/>
            <w:shd w:fill="E5F2F0"/>
            <w:tcMar>
              <w:top w:w="140" w:type="dxa"/>
              <w:start w:w="180" w:type="dxa"/>
              <w:bottom w:w="140" w:type="dxa"/>
              <w:end w:w="180" w:type="dxa"/>
            </w:tcMar>
          </w:tcPr>
          <w:p>
            <w:r>
              <w:rPr>
                <w:b/>
                <w:color w:val="003B36"/>
              </w:rPr>
              <w:t xml:space="preserve">Device voice constraint  </w:t>
            </w:r>
            <w:r>
              <w:t>Android TTS availability varies by engine, manufacturer, installed voice data, and OS version. Voice Hub may open the engine's install/settings flow but must not extract or redistribute the engine's voice model.</w:t>
            </w:r>
          </w:p>
        </w:tc>
      </w:tr>
    </w:tbl>
    <w:p>
      <w:pPr>
        <w:spacing w:after="0"/>
      </w:pPr>
    </w:p>
    <w:p>
      <w:pPr>
        <w:pStyle w:val="Heading1"/>
        <w:keepNext/>
      </w:pPr>
      <w:r>
        <w:t>4. Functional requirements</w:t>
      </w:r>
    </w:p>
    <w:p>
      <w:r>
        <w:t>The delivery backlog is the detailed source of truth. The tables below summarize P0 and P1 requirements; story IDs are stable traceability keys shared with the Excel workbook.</w:t>
      </w:r>
    </w:p>
    <w:p>
      <w:pPr>
        <w:pStyle w:val="Heading2"/>
        <w:keepNext/>
      </w:pPr>
      <w:r>
        <w:t>E01 — Product boundaries and catalog</w:t>
      </w:r>
    </w:p>
    <w:p>
      <w:r>
        <w:rPr>
          <w:b/>
        </w:rPr>
        <w:t xml:space="preserve">Objective: </w:t>
      </w:r>
      <w:r>
        <w:t>Define launch domains, language catalog, voice provenance, and excluded uses.</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820"/>
        <w:gridCol w:w="2760"/>
        <w:gridCol w:w="4560"/>
        <w:gridCol w:w="1220"/>
      </w:tblGrid>
      <w:tr>
        <w:trPr>
          <w:tblHeader w:val="true"/>
          <w:cantSplit/>
        </w:trPr>
        <w:tc>
          <w:tcPr>
            <w:tcW w:type="dxa" w:w="820"/>
            <w:tcMar>
              <w:top w:w="80" w:type="dxa"/>
              <w:start w:w="120" w:type="dxa"/>
              <w:bottom w:w="80" w:type="dxa"/>
              <w:end w:w="120" w:type="dxa"/>
            </w:tcMar>
            <w:vAlign w:val="center"/>
            <w:shd w:fill="003B36"/>
          </w:tcPr>
          <w:p>
            <w:r>
              <w:rPr>
                <w:b/>
                <w:color w:val="FFFFFF"/>
                <w:sz w:val="18"/>
              </w:rPr>
              <w:t>ID</w:t>
            </w:r>
          </w:p>
        </w:tc>
        <w:tc>
          <w:tcPr>
            <w:tcW w:type="dxa" w:w="2760"/>
            <w:tcMar>
              <w:top w:w="80" w:type="dxa"/>
              <w:start w:w="120" w:type="dxa"/>
              <w:bottom w:w="80" w:type="dxa"/>
              <w:end w:w="120" w:type="dxa"/>
            </w:tcMar>
            <w:vAlign w:val="center"/>
            <w:shd w:fill="003B36"/>
          </w:tcPr>
          <w:p>
            <w:r>
              <w:rPr>
                <w:b/>
                <w:color w:val="FFFFFF"/>
                <w:sz w:val="18"/>
              </w:rPr>
              <w:t>Requirement</w:t>
            </w:r>
          </w:p>
        </w:tc>
        <w:tc>
          <w:tcPr>
            <w:tcW w:type="dxa" w:w="4560"/>
            <w:tcMar>
              <w:top w:w="80" w:type="dxa"/>
              <w:start w:w="120" w:type="dxa"/>
              <w:bottom w:w="80" w:type="dxa"/>
              <w:end w:w="120" w:type="dxa"/>
            </w:tcMar>
            <w:vAlign w:val="center"/>
            <w:shd w:fill="003B36"/>
          </w:tcPr>
          <w:p>
            <w:r>
              <w:rPr>
                <w:b/>
                <w:color w:val="FFFFFF"/>
                <w:sz w:val="18"/>
              </w:rPr>
              <w:t>Acceptance summary</w:t>
            </w:r>
          </w:p>
        </w:tc>
        <w:tc>
          <w:tcPr>
            <w:tcW w:type="dxa" w:w="1220"/>
            <w:tcMar>
              <w:top w:w="80" w:type="dxa"/>
              <w:start w:w="120" w:type="dxa"/>
              <w:bottom w:w="80" w:type="dxa"/>
              <w:end w:w="120" w:type="dxa"/>
            </w:tcMar>
            <w:vAlign w:val="center"/>
            <w:shd w:fill="003B36"/>
          </w:tcPr>
          <w:p>
            <w:r>
              <w:rPr>
                <w:b/>
                <w:color w:val="FFFFFF"/>
                <w:sz w:val="18"/>
              </w:rPr>
              <w:t>State</w:t>
            </w:r>
          </w:p>
        </w:tc>
      </w:tr>
      <w:tr>
        <w:trPr>
          <w:cantSplit/>
        </w:trPr>
        <w:tc>
          <w:tcPr>
            <w:tcW w:type="dxa" w:w="820"/>
            <w:tcMar>
              <w:top w:w="80" w:type="dxa"/>
              <w:start w:w="120" w:type="dxa"/>
              <w:bottom w:w="80" w:type="dxa"/>
              <w:end w:w="120" w:type="dxa"/>
            </w:tcMar>
            <w:vAlign w:val="center"/>
          </w:tcPr>
          <w:p>
            <w:pPr>
              <w:spacing w:after="40"/>
            </w:pPr>
            <w:r>
              <w:rPr>
                <w:sz w:val="18"/>
              </w:rPr>
              <w:t>VH-001</w:t>
            </w:r>
          </w:p>
        </w:tc>
        <w:tc>
          <w:tcPr>
            <w:tcW w:type="dxa" w:w="2760"/>
            <w:tcMar>
              <w:top w:w="80" w:type="dxa"/>
              <w:start w:w="120" w:type="dxa"/>
              <w:bottom w:w="80" w:type="dxa"/>
              <w:end w:w="120" w:type="dxa"/>
            </w:tcMar>
            <w:vAlign w:val="center"/>
          </w:tcPr>
          <w:p>
            <w:pPr>
              <w:spacing w:after="40"/>
            </w:pPr>
            <w:r>
              <w:rPr>
                <w:sz w:val="18"/>
              </w:rPr>
              <w:t>As the product owner, I want Create, Channels, and Companions defined as separate domains so that their privacy and delivery rules cannot be confused.</w:t>
            </w:r>
          </w:p>
        </w:tc>
        <w:tc>
          <w:tcPr>
            <w:tcW w:type="dxa" w:w="4560"/>
            <w:tcMar>
              <w:top w:w="80" w:type="dxa"/>
              <w:start w:w="120" w:type="dxa"/>
              <w:bottom w:w="80" w:type="dxa"/>
              <w:end w:w="120" w:type="dxa"/>
            </w:tcMar>
            <w:vAlign w:val="center"/>
          </w:tcPr>
          <w:p>
            <w:pPr>
              <w:spacing w:after="40"/>
            </w:pPr>
            <w:r>
              <w:rPr>
                <w:sz w:val="18"/>
              </w:rPr>
              <w:t>The PRD and architecture name all three domains; companion conversations are never represented as subscriptions; channel fan-out never reads companion threads.</w:t>
            </w:r>
          </w:p>
        </w:tc>
        <w:tc>
          <w:tcPr>
            <w:tcW w:type="dxa" w:w="1220"/>
            <w:shd w:fill="E5F2F0"/>
            <w:tcMar>
              <w:top w:w="80" w:type="dxa"/>
              <w:start w:w="120" w:type="dxa"/>
              <w:bottom w:w="80" w:type="dxa"/>
              <w:end w:w="120" w:type="dxa"/>
            </w:tcMar>
            <w:vAlign w:val="center"/>
          </w:tcPr>
          <w:p>
            <w:pPr>
              <w:spacing w:after="40"/>
            </w:pPr>
            <w:r>
              <w:rPr>
                <w:sz w:val="18"/>
              </w:rPr>
              <w:t>P0 • Done</w:t>
            </w:r>
          </w:p>
        </w:tc>
      </w:tr>
      <w:tr>
        <w:trPr>
          <w:cantSplit/>
        </w:trPr>
        <w:tc>
          <w:tcPr>
            <w:tcW w:type="dxa" w:w="820"/>
            <w:tcMar>
              <w:top w:w="80" w:type="dxa"/>
              <w:start w:w="120" w:type="dxa"/>
              <w:bottom w:w="80" w:type="dxa"/>
              <w:end w:w="120" w:type="dxa"/>
            </w:tcMar>
            <w:vAlign w:val="center"/>
          </w:tcPr>
          <w:p>
            <w:pPr>
              <w:spacing w:after="40"/>
            </w:pPr>
            <w:r>
              <w:rPr>
                <w:sz w:val="18"/>
              </w:rPr>
              <w:t>VH-002</w:t>
            </w:r>
          </w:p>
        </w:tc>
        <w:tc>
          <w:tcPr>
            <w:tcW w:type="dxa" w:w="2760"/>
            <w:tcMar>
              <w:top w:w="80" w:type="dxa"/>
              <w:start w:w="120" w:type="dxa"/>
              <w:bottom w:w="80" w:type="dxa"/>
              <w:end w:w="120" w:type="dxa"/>
            </w:tcMar>
            <w:vAlign w:val="center"/>
          </w:tcPr>
          <w:p>
            <w:pPr>
              <w:spacing w:after="40"/>
            </w:pPr>
            <w:r>
              <w:rPr>
                <w:sz w:val="18"/>
              </w:rPr>
              <w:t>I want only original, system, or contractually approved voices so that the product does not imply celebrity endorsement.</w:t>
            </w:r>
          </w:p>
        </w:tc>
        <w:tc>
          <w:tcPr>
            <w:tcW w:type="dxa" w:w="4560"/>
            <w:tcMar>
              <w:top w:w="80" w:type="dxa"/>
              <w:start w:w="120" w:type="dxa"/>
              <w:bottom w:w="80" w:type="dxa"/>
              <w:end w:w="120" w:type="dxa"/>
            </w:tcMar>
            <w:vAlign w:val="center"/>
          </w:tcPr>
          <w:p>
            <w:pPr>
              <w:spacing w:after="40"/>
            </w:pPr>
            <w:r>
              <w:rPr>
                <w:sz w:val="18"/>
              </w:rPr>
              <w:t>No UI or API copy says licensed celebrity/public-figure voice; launch catalog records provider, language, consent/provenance class, and active state; celebrity cloning is absent.</w:t>
            </w:r>
          </w:p>
        </w:tc>
        <w:tc>
          <w:tcPr>
            <w:tcW w:type="dxa" w:w="1220"/>
            <w:shd w:fill="E5F2F0"/>
            <w:tcMar>
              <w:top w:w="80" w:type="dxa"/>
              <w:start w:w="120" w:type="dxa"/>
              <w:bottom w:w="80" w:type="dxa"/>
              <w:end w:w="120" w:type="dxa"/>
            </w:tcMar>
            <w:vAlign w:val="center"/>
          </w:tcPr>
          <w:p>
            <w:pPr>
              <w:spacing w:after="40"/>
            </w:pPr>
            <w:r>
              <w:rPr>
                <w:sz w:val="18"/>
              </w:rPr>
              <w:t>P0 • Done</w:t>
            </w:r>
          </w:p>
        </w:tc>
      </w:tr>
      <w:tr>
        <w:trPr>
          <w:cantSplit/>
        </w:trPr>
        <w:tc>
          <w:tcPr>
            <w:tcW w:type="dxa" w:w="820"/>
            <w:tcMar>
              <w:top w:w="80" w:type="dxa"/>
              <w:start w:w="120" w:type="dxa"/>
              <w:bottom w:w="80" w:type="dxa"/>
              <w:end w:w="120" w:type="dxa"/>
            </w:tcMar>
            <w:vAlign w:val="center"/>
          </w:tcPr>
          <w:p>
            <w:pPr>
              <w:spacing w:after="40"/>
            </w:pPr>
            <w:r>
              <w:rPr>
                <w:sz w:val="18"/>
              </w:rPr>
              <w:t>VH-003</w:t>
            </w:r>
          </w:p>
        </w:tc>
        <w:tc>
          <w:tcPr>
            <w:tcW w:type="dxa" w:w="2760"/>
            <w:tcMar>
              <w:top w:w="80" w:type="dxa"/>
              <w:start w:w="120" w:type="dxa"/>
              <w:bottom w:w="80" w:type="dxa"/>
              <w:end w:w="120" w:type="dxa"/>
            </w:tcMar>
            <w:vAlign w:val="center"/>
          </w:tcPr>
          <w:p>
            <w:pPr>
              <w:spacing w:after="40"/>
            </w:pPr>
            <w:r>
              <w:rPr>
                <w:sz w:val="18"/>
              </w:rPr>
              <w:t>As a Nigerian-language user, I want English, Naija Pidgin, Yorùbá, Hausa, and Igbo shown as distinct choices so that I can select the language I intend.</w:t>
            </w:r>
          </w:p>
        </w:tc>
        <w:tc>
          <w:tcPr>
            <w:tcW w:type="dxa" w:w="4560"/>
            <w:tcMar>
              <w:top w:w="80" w:type="dxa"/>
              <w:start w:w="120" w:type="dxa"/>
              <w:bottom w:w="80" w:type="dxa"/>
              <w:end w:w="120" w:type="dxa"/>
            </w:tcMar>
            <w:vAlign w:val="center"/>
          </w:tcPr>
          <w:p>
            <w:pPr>
              <w:spacing w:after="40"/>
            </w:pPr>
            <w:r>
              <w:rPr>
                <w:sz w:val="18"/>
              </w:rPr>
              <w:t>Catalog contains en-NG, pcm-NG, yo-NG, ha-NG, and ig-NG; English and Pidgin are separate; unavailable device voices are labelled unavailable rather than silently substituted.</w:t>
            </w:r>
          </w:p>
        </w:tc>
        <w:tc>
          <w:tcPr>
            <w:tcW w:type="dxa" w:w="1220"/>
            <w:tcMar>
              <w:top w:w="80" w:type="dxa"/>
              <w:start w:w="120" w:type="dxa"/>
              <w:bottom w:w="80" w:type="dxa"/>
              <w:end w:w="120" w:type="dxa"/>
            </w:tcMar>
            <w:vAlign w:val="center"/>
          </w:tcPr>
          <w:p>
            <w:pPr>
              <w:spacing w:after="40"/>
            </w:pPr>
            <w:r>
              <w:rPr>
                <w:sz w:val="18"/>
              </w:rPr>
              <w:t>P0 • In Progress</w:t>
            </w:r>
          </w:p>
        </w:tc>
      </w:tr>
    </w:tbl>
    <w:p>
      <w:pPr>
        <w:pStyle w:val="Heading2"/>
        <w:keepNext/>
      </w:pPr>
      <w:r>
        <w:t>E02 — Core service contracts</w:t>
      </w:r>
    </w:p>
    <w:p>
      <w:r>
        <w:rPr>
          <w:b/>
        </w:rPr>
        <w:t xml:space="preserve">Objective: </w:t>
      </w:r>
      <w:r>
        <w:t>Establish provider, media, publishing, delivery, and companion boundaries with deterministic tests.</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820"/>
        <w:gridCol w:w="2760"/>
        <w:gridCol w:w="4560"/>
        <w:gridCol w:w="1220"/>
      </w:tblGrid>
      <w:tr>
        <w:trPr>
          <w:tblHeader w:val="true"/>
          <w:cantSplit/>
        </w:trPr>
        <w:tc>
          <w:tcPr>
            <w:tcW w:type="dxa" w:w="820"/>
            <w:tcMar>
              <w:top w:w="80" w:type="dxa"/>
              <w:start w:w="120" w:type="dxa"/>
              <w:bottom w:w="80" w:type="dxa"/>
              <w:end w:w="120" w:type="dxa"/>
            </w:tcMar>
            <w:vAlign w:val="center"/>
            <w:shd w:fill="003B36"/>
          </w:tcPr>
          <w:p>
            <w:r>
              <w:rPr>
                <w:b/>
                <w:color w:val="FFFFFF"/>
                <w:sz w:val="18"/>
              </w:rPr>
              <w:t>ID</w:t>
            </w:r>
          </w:p>
        </w:tc>
        <w:tc>
          <w:tcPr>
            <w:tcW w:type="dxa" w:w="2760"/>
            <w:tcMar>
              <w:top w:w="80" w:type="dxa"/>
              <w:start w:w="120" w:type="dxa"/>
              <w:bottom w:w="80" w:type="dxa"/>
              <w:end w:w="120" w:type="dxa"/>
            </w:tcMar>
            <w:vAlign w:val="center"/>
            <w:shd w:fill="003B36"/>
          </w:tcPr>
          <w:p>
            <w:r>
              <w:rPr>
                <w:b/>
                <w:color w:val="FFFFFF"/>
                <w:sz w:val="18"/>
              </w:rPr>
              <w:t>Requirement</w:t>
            </w:r>
          </w:p>
        </w:tc>
        <w:tc>
          <w:tcPr>
            <w:tcW w:type="dxa" w:w="4560"/>
            <w:tcMar>
              <w:top w:w="80" w:type="dxa"/>
              <w:start w:w="120" w:type="dxa"/>
              <w:bottom w:w="80" w:type="dxa"/>
              <w:end w:w="120" w:type="dxa"/>
            </w:tcMar>
            <w:vAlign w:val="center"/>
            <w:shd w:fill="003B36"/>
          </w:tcPr>
          <w:p>
            <w:r>
              <w:rPr>
                <w:b/>
                <w:color w:val="FFFFFF"/>
                <w:sz w:val="18"/>
              </w:rPr>
              <w:t>Acceptance summary</w:t>
            </w:r>
          </w:p>
        </w:tc>
        <w:tc>
          <w:tcPr>
            <w:tcW w:type="dxa" w:w="1220"/>
            <w:tcMar>
              <w:top w:w="80" w:type="dxa"/>
              <w:start w:w="120" w:type="dxa"/>
              <w:bottom w:w="80" w:type="dxa"/>
              <w:end w:w="120" w:type="dxa"/>
            </w:tcMar>
            <w:vAlign w:val="center"/>
            <w:shd w:fill="003B36"/>
          </w:tcPr>
          <w:p>
            <w:r>
              <w:rPr>
                <w:b/>
                <w:color w:val="FFFFFF"/>
                <w:sz w:val="18"/>
              </w:rPr>
              <w:t>State</w:t>
            </w:r>
          </w:p>
        </w:tc>
      </w:tr>
      <w:tr>
        <w:trPr>
          <w:cantSplit/>
        </w:trPr>
        <w:tc>
          <w:tcPr>
            <w:tcW w:type="dxa" w:w="820"/>
            <w:tcMar>
              <w:top w:w="80" w:type="dxa"/>
              <w:start w:w="120" w:type="dxa"/>
              <w:bottom w:w="80" w:type="dxa"/>
              <w:end w:w="120" w:type="dxa"/>
            </w:tcMar>
            <w:vAlign w:val="center"/>
          </w:tcPr>
          <w:p>
            <w:pPr>
              <w:spacing w:after="40"/>
            </w:pPr>
            <w:r>
              <w:rPr>
                <w:sz w:val="18"/>
              </w:rPr>
              <w:t>VH-004</w:t>
            </w:r>
          </w:p>
        </w:tc>
        <w:tc>
          <w:tcPr>
            <w:tcW w:type="dxa" w:w="2760"/>
            <w:tcMar>
              <w:top w:w="80" w:type="dxa"/>
              <w:start w:w="120" w:type="dxa"/>
              <w:bottom w:w="80" w:type="dxa"/>
              <w:end w:w="120" w:type="dxa"/>
            </w:tcMar>
            <w:vAlign w:val="center"/>
          </w:tcPr>
          <w:p>
            <w:pPr>
              <w:spacing w:after="40"/>
            </w:pPr>
            <w:r>
              <w:rPr>
                <w:sz w:val="18"/>
              </w:rPr>
              <w:t>As an engineer, I want a standalone Voice Hub backend so that Mama-AI experiments can be reused without becoming a runtime dependency.</w:t>
            </w:r>
          </w:p>
        </w:tc>
        <w:tc>
          <w:tcPr>
            <w:tcW w:type="dxa" w:w="4560"/>
            <w:tcMar>
              <w:top w:w="80" w:type="dxa"/>
              <w:start w:w="120" w:type="dxa"/>
              <w:bottom w:w="80" w:type="dxa"/>
              <w:end w:w="120" w:type="dxa"/>
            </w:tcMar>
            <w:vAlign w:val="center"/>
          </w:tcPr>
          <w:p>
            <w:pPr>
              <w:spacing w:after="40"/>
            </w:pPr>
            <w:r>
              <w:rPr>
                <w:sz w:val="18"/>
              </w:rPr>
              <w:t>Voice Hub has its own service, configuration, migrations, tests, and provider adapters; no runtime import or deployment dependency points to Mama-AI.</w:t>
            </w:r>
          </w:p>
        </w:tc>
        <w:tc>
          <w:tcPr>
            <w:tcW w:type="dxa" w:w="1220"/>
            <w:shd w:fill="E5F2F0"/>
            <w:tcMar>
              <w:top w:w="80" w:type="dxa"/>
              <w:start w:w="120" w:type="dxa"/>
              <w:bottom w:w="80" w:type="dxa"/>
              <w:end w:w="120" w:type="dxa"/>
            </w:tcMar>
            <w:vAlign w:val="center"/>
          </w:tcPr>
          <w:p>
            <w:pPr>
              <w:spacing w:after="40"/>
            </w:pPr>
            <w:r>
              <w:rPr>
                <w:sz w:val="18"/>
              </w:rPr>
              <w:t>P0 • Done</w:t>
            </w:r>
          </w:p>
        </w:tc>
      </w:tr>
      <w:tr>
        <w:trPr>
          <w:cantSplit/>
        </w:trPr>
        <w:tc>
          <w:tcPr>
            <w:tcW w:type="dxa" w:w="820"/>
            <w:tcMar>
              <w:top w:w="80" w:type="dxa"/>
              <w:start w:w="120" w:type="dxa"/>
              <w:bottom w:w="80" w:type="dxa"/>
              <w:end w:w="120" w:type="dxa"/>
            </w:tcMar>
            <w:vAlign w:val="center"/>
          </w:tcPr>
          <w:p>
            <w:pPr>
              <w:spacing w:after="40"/>
            </w:pPr>
            <w:r>
              <w:rPr>
                <w:sz w:val="18"/>
              </w:rPr>
              <w:t>VH-005</w:t>
            </w:r>
          </w:p>
        </w:tc>
        <w:tc>
          <w:tcPr>
            <w:tcW w:type="dxa" w:w="2760"/>
            <w:tcMar>
              <w:top w:w="80" w:type="dxa"/>
              <w:start w:w="120" w:type="dxa"/>
              <w:bottom w:w="80" w:type="dxa"/>
              <w:end w:w="120" w:type="dxa"/>
            </w:tcMar>
            <w:vAlign w:val="center"/>
          </w:tcPr>
          <w:p>
            <w:pPr>
              <w:spacing w:after="40"/>
            </w:pPr>
            <w:r>
              <w:rPr>
                <w:sz w:val="18"/>
              </w:rPr>
              <w:t>I want one synthesis contract across Spitch, Intron, and YarnGPT so that providers can be selected by language and capability.</w:t>
            </w:r>
          </w:p>
        </w:tc>
        <w:tc>
          <w:tcPr>
            <w:tcW w:type="dxa" w:w="4560"/>
            <w:tcMar>
              <w:top w:w="80" w:type="dxa"/>
              <w:start w:w="120" w:type="dxa"/>
              <w:bottom w:w="80" w:type="dxa"/>
              <w:end w:w="120" w:type="dxa"/>
            </w:tcMar>
            <w:vAlign w:val="center"/>
          </w:tcPr>
          <w:p>
            <w:pPr>
              <w:spacing w:after="40"/>
            </w:pPr>
            <w:r>
              <w:rPr>
                <w:sz w:val="18"/>
              </w:rPr>
              <w:t>Provider request/response contract is typed; Spitch accepts direct Ogg/Opus; WAV providers enter the normalization path; invalid media is rejected with structured errors.</w:t>
            </w:r>
          </w:p>
        </w:tc>
        <w:tc>
          <w:tcPr>
            <w:tcW w:type="dxa" w:w="1220"/>
            <w:shd w:fill="E5F2F0"/>
            <w:tcMar>
              <w:top w:w="80" w:type="dxa"/>
              <w:start w:w="120" w:type="dxa"/>
              <w:bottom w:w="80" w:type="dxa"/>
              <w:end w:w="120" w:type="dxa"/>
            </w:tcMar>
            <w:vAlign w:val="center"/>
          </w:tcPr>
          <w:p>
            <w:pPr>
              <w:spacing w:after="40"/>
            </w:pPr>
            <w:r>
              <w:rPr>
                <w:sz w:val="18"/>
              </w:rPr>
              <w:t>P0 • Done</w:t>
            </w:r>
          </w:p>
        </w:tc>
      </w:tr>
      <w:tr>
        <w:trPr>
          <w:cantSplit/>
        </w:trPr>
        <w:tc>
          <w:tcPr>
            <w:tcW w:type="dxa" w:w="820"/>
            <w:tcMar>
              <w:top w:w="80" w:type="dxa"/>
              <w:start w:w="120" w:type="dxa"/>
              <w:bottom w:w="80" w:type="dxa"/>
              <w:end w:w="120" w:type="dxa"/>
            </w:tcMar>
            <w:vAlign w:val="center"/>
          </w:tcPr>
          <w:p>
            <w:pPr>
              <w:spacing w:after="40"/>
            </w:pPr>
            <w:r>
              <w:rPr>
                <w:sz w:val="18"/>
              </w:rPr>
              <w:t>VH-006</w:t>
            </w:r>
          </w:p>
        </w:tc>
        <w:tc>
          <w:tcPr>
            <w:tcW w:type="dxa" w:w="2760"/>
            <w:tcMar>
              <w:top w:w="80" w:type="dxa"/>
              <w:start w:w="120" w:type="dxa"/>
              <w:bottom w:w="80" w:type="dxa"/>
              <w:end w:w="120" w:type="dxa"/>
            </w:tcMar>
            <w:vAlign w:val="center"/>
          </w:tcPr>
          <w:p>
            <w:pPr>
              <w:spacing w:after="40"/>
            </w:pPr>
            <w:r>
              <w:rPr>
                <w:sz w:val="18"/>
              </w:rPr>
              <w:t>As an operations engineer, I want durable jobs and an outbox so that synthesis and delivery can be retried without duplicates.</w:t>
            </w:r>
          </w:p>
        </w:tc>
        <w:tc>
          <w:tcPr>
            <w:tcW w:type="dxa" w:w="4560"/>
            <w:tcMar>
              <w:top w:w="80" w:type="dxa"/>
              <w:start w:w="120" w:type="dxa"/>
              <w:bottom w:w="80" w:type="dxa"/>
              <w:end w:w="120" w:type="dxa"/>
            </w:tcMar>
            <w:vAlign w:val="center"/>
          </w:tcPr>
          <w:p>
            <w:pPr>
              <w:spacing w:after="40"/>
            </w:pPr>
            <w:r>
              <w:rPr>
                <w:sz w:val="18"/>
              </w:rPr>
              <w:t>Episode and synthesis job commit atomically; leases prevent double work; content-addressed media is immutable; event replay does not duplicate deliveries.</w:t>
            </w:r>
          </w:p>
        </w:tc>
        <w:tc>
          <w:tcPr>
            <w:tcW w:type="dxa" w:w="1220"/>
            <w:shd w:fill="E5F2F0"/>
            <w:tcMar>
              <w:top w:w="80" w:type="dxa"/>
              <w:start w:w="120" w:type="dxa"/>
              <w:bottom w:w="80" w:type="dxa"/>
              <w:end w:w="120" w:type="dxa"/>
            </w:tcMar>
            <w:vAlign w:val="center"/>
          </w:tcPr>
          <w:p>
            <w:pPr>
              <w:spacing w:after="40"/>
            </w:pPr>
            <w:r>
              <w:rPr>
                <w:sz w:val="18"/>
              </w:rPr>
              <w:t>P0 • Done</w:t>
            </w:r>
          </w:p>
        </w:tc>
      </w:tr>
    </w:tbl>
    <w:p>
      <w:pPr>
        <w:pStyle w:val="Heading2"/>
        <w:keepNext/>
      </w:pPr>
      <w:r>
        <w:t>E03 — Voice authoring and language</w:t>
      </w:r>
    </w:p>
    <w:p>
      <w:r>
        <w:rPr>
          <w:b/>
        </w:rPr>
        <w:t xml:space="preserve">Objective: </w:t>
      </w:r>
      <w:r>
        <w:t>Deliver a five-language create flow with explicit device and Voice Hub voice modes.</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820"/>
        <w:gridCol w:w="2760"/>
        <w:gridCol w:w="4560"/>
        <w:gridCol w:w="1220"/>
      </w:tblGrid>
      <w:tr>
        <w:trPr>
          <w:tblHeader w:val="true"/>
          <w:cantSplit/>
        </w:trPr>
        <w:tc>
          <w:tcPr>
            <w:tcW w:type="dxa" w:w="820"/>
            <w:tcMar>
              <w:top w:w="80" w:type="dxa"/>
              <w:start w:w="120" w:type="dxa"/>
              <w:bottom w:w="80" w:type="dxa"/>
              <w:end w:w="120" w:type="dxa"/>
            </w:tcMar>
            <w:vAlign w:val="center"/>
            <w:shd w:fill="003B36"/>
          </w:tcPr>
          <w:p>
            <w:r>
              <w:rPr>
                <w:b/>
                <w:color w:val="FFFFFF"/>
                <w:sz w:val="18"/>
              </w:rPr>
              <w:t>ID</w:t>
            </w:r>
          </w:p>
        </w:tc>
        <w:tc>
          <w:tcPr>
            <w:tcW w:type="dxa" w:w="2760"/>
            <w:tcMar>
              <w:top w:w="80" w:type="dxa"/>
              <w:start w:w="120" w:type="dxa"/>
              <w:bottom w:w="80" w:type="dxa"/>
              <w:end w:w="120" w:type="dxa"/>
            </w:tcMar>
            <w:vAlign w:val="center"/>
            <w:shd w:fill="003B36"/>
          </w:tcPr>
          <w:p>
            <w:r>
              <w:rPr>
                <w:b/>
                <w:color w:val="FFFFFF"/>
                <w:sz w:val="18"/>
              </w:rPr>
              <w:t>Requirement</w:t>
            </w:r>
          </w:p>
        </w:tc>
        <w:tc>
          <w:tcPr>
            <w:tcW w:type="dxa" w:w="4560"/>
            <w:tcMar>
              <w:top w:w="80" w:type="dxa"/>
              <w:start w:w="120" w:type="dxa"/>
              <w:bottom w:w="80" w:type="dxa"/>
              <w:end w:w="120" w:type="dxa"/>
            </w:tcMar>
            <w:vAlign w:val="center"/>
            <w:shd w:fill="003B36"/>
          </w:tcPr>
          <w:p>
            <w:r>
              <w:rPr>
                <w:b/>
                <w:color w:val="FFFFFF"/>
                <w:sz w:val="18"/>
              </w:rPr>
              <w:t>Acceptance summary</w:t>
            </w:r>
          </w:p>
        </w:tc>
        <w:tc>
          <w:tcPr>
            <w:tcW w:type="dxa" w:w="1220"/>
            <w:tcMar>
              <w:top w:w="80" w:type="dxa"/>
              <w:start w:w="120" w:type="dxa"/>
              <w:bottom w:w="80" w:type="dxa"/>
              <w:end w:w="120" w:type="dxa"/>
            </w:tcMar>
            <w:vAlign w:val="center"/>
            <w:shd w:fill="003B36"/>
          </w:tcPr>
          <w:p>
            <w:r>
              <w:rPr>
                <w:b/>
                <w:color w:val="FFFFFF"/>
                <w:sz w:val="18"/>
              </w:rPr>
              <w:t>State</w:t>
            </w:r>
          </w:p>
        </w:tc>
      </w:tr>
      <w:tr>
        <w:trPr>
          <w:cantSplit/>
        </w:trPr>
        <w:tc>
          <w:tcPr>
            <w:tcW w:type="dxa" w:w="820"/>
            <w:tcMar>
              <w:top w:w="80" w:type="dxa"/>
              <w:start w:w="120" w:type="dxa"/>
              <w:bottom w:w="80" w:type="dxa"/>
              <w:end w:w="120" w:type="dxa"/>
            </w:tcMar>
            <w:vAlign w:val="center"/>
          </w:tcPr>
          <w:p>
            <w:pPr>
              <w:spacing w:after="40"/>
            </w:pPr>
            <w:r>
              <w:rPr>
                <w:sz w:val="18"/>
              </w:rPr>
              <w:t>VH-007</w:t>
            </w:r>
          </w:p>
        </w:tc>
        <w:tc>
          <w:tcPr>
            <w:tcW w:type="dxa" w:w="2760"/>
            <w:tcMar>
              <w:top w:w="80" w:type="dxa"/>
              <w:start w:w="120" w:type="dxa"/>
              <w:bottom w:w="80" w:type="dxa"/>
              <w:end w:w="120" w:type="dxa"/>
            </w:tcMar>
            <w:vAlign w:val="center"/>
          </w:tcPr>
          <w:p>
            <w:pPr>
              <w:spacing w:after="40"/>
            </w:pPr>
            <w:r>
              <w:rPr>
                <w:sz w:val="18"/>
              </w:rPr>
              <w:t>I want to choose Device voice or Voice Hub voice so that I understand whether generation is local or cloud-based.</w:t>
            </w:r>
          </w:p>
        </w:tc>
        <w:tc>
          <w:tcPr>
            <w:tcW w:type="dxa" w:w="4560"/>
            <w:tcMar>
              <w:top w:w="80" w:type="dxa"/>
              <w:start w:w="120" w:type="dxa"/>
              <w:bottom w:w="80" w:type="dxa"/>
              <w:end w:w="120" w:type="dxa"/>
            </w:tcMar>
            <w:vAlign w:val="center"/>
          </w:tcPr>
          <w:p>
            <w:pPr>
              <w:spacing w:after="40"/>
            </w:pPr>
            <w:r>
              <w:rPr>
                <w:sz w:val="18"/>
              </w:rPr>
              <w:t>The mode selector explains availability, consistency, data use, and connectivity; selection persists; the app never silently changes mode or provider.</w:t>
            </w:r>
          </w:p>
        </w:tc>
        <w:tc>
          <w:tcPr>
            <w:tcW w:type="dxa" w:w="1220"/>
            <w:tcMar>
              <w:top w:w="80" w:type="dxa"/>
              <w:start w:w="120" w:type="dxa"/>
              <w:bottom w:w="80" w:type="dxa"/>
              <w:end w:w="120" w:type="dxa"/>
            </w:tcMar>
            <w:vAlign w:val="center"/>
          </w:tcPr>
          <w:p>
            <w:pPr>
              <w:spacing w:after="40"/>
            </w:pPr>
            <w:r>
              <w:rPr>
                <w:sz w:val="18"/>
              </w:rPr>
              <w:t>P0 • Planned</w:t>
            </w:r>
          </w:p>
        </w:tc>
      </w:tr>
      <w:tr>
        <w:trPr>
          <w:cantSplit/>
        </w:trPr>
        <w:tc>
          <w:tcPr>
            <w:tcW w:type="dxa" w:w="820"/>
            <w:tcMar>
              <w:top w:w="80" w:type="dxa"/>
              <w:start w:w="120" w:type="dxa"/>
              <w:bottom w:w="80" w:type="dxa"/>
              <w:end w:w="120" w:type="dxa"/>
            </w:tcMar>
            <w:vAlign w:val="center"/>
          </w:tcPr>
          <w:p>
            <w:pPr>
              <w:spacing w:after="40"/>
            </w:pPr>
            <w:r>
              <w:rPr>
                <w:sz w:val="18"/>
              </w:rPr>
              <w:t>VH-008</w:t>
            </w:r>
          </w:p>
        </w:tc>
        <w:tc>
          <w:tcPr>
            <w:tcW w:type="dxa" w:w="2760"/>
            <w:tcMar>
              <w:top w:w="80" w:type="dxa"/>
              <w:start w:w="120" w:type="dxa"/>
              <w:bottom w:w="80" w:type="dxa"/>
              <w:end w:w="120" w:type="dxa"/>
            </w:tcMar>
            <w:vAlign w:val="center"/>
          </w:tcPr>
          <w:p>
            <w:pPr>
              <w:spacing w:after="40"/>
            </w:pPr>
            <w:r>
              <w:rPr>
                <w:sz w:val="18"/>
              </w:rPr>
              <w:t>I want the app to detect installed Android TTS support before generation so that failure is actionable.</w:t>
            </w:r>
          </w:p>
        </w:tc>
        <w:tc>
          <w:tcPr>
            <w:tcW w:type="dxa" w:w="4560"/>
            <w:tcMar>
              <w:top w:w="80" w:type="dxa"/>
              <w:start w:w="120" w:type="dxa"/>
              <w:bottom w:w="80" w:type="dxa"/>
              <w:end w:w="120" w:type="dxa"/>
            </w:tcMar>
            <w:vAlign w:val="center"/>
          </w:tcPr>
          <w:p>
            <w:pPr>
              <w:spacing w:after="40"/>
            </w:pPr>
            <w:r>
              <w:rPr>
                <w:sz w:val="18"/>
              </w:rPr>
              <w:t>The app queries the selected engine/locale; missing language data shows an install/settings action; engine errors are visible; no English fallback occurs without consent.</w:t>
            </w:r>
          </w:p>
        </w:tc>
        <w:tc>
          <w:tcPr>
            <w:tcW w:type="dxa" w:w="1220"/>
            <w:tcMar>
              <w:top w:w="80" w:type="dxa"/>
              <w:start w:w="120" w:type="dxa"/>
              <w:bottom w:w="80" w:type="dxa"/>
              <w:end w:w="120" w:type="dxa"/>
            </w:tcMar>
            <w:vAlign w:val="center"/>
          </w:tcPr>
          <w:p>
            <w:pPr>
              <w:spacing w:after="40"/>
            </w:pPr>
            <w:r>
              <w:rPr>
                <w:sz w:val="18"/>
              </w:rPr>
              <w:t>P0 • In Progress</w:t>
            </w:r>
          </w:p>
        </w:tc>
      </w:tr>
      <w:tr>
        <w:trPr>
          <w:cantSplit/>
        </w:trPr>
        <w:tc>
          <w:tcPr>
            <w:tcW w:type="dxa" w:w="820"/>
            <w:tcMar>
              <w:top w:w="80" w:type="dxa"/>
              <w:start w:w="120" w:type="dxa"/>
              <w:bottom w:w="80" w:type="dxa"/>
              <w:end w:w="120" w:type="dxa"/>
            </w:tcMar>
            <w:vAlign w:val="center"/>
          </w:tcPr>
          <w:p>
            <w:pPr>
              <w:spacing w:after="40"/>
            </w:pPr>
            <w:r>
              <w:rPr>
                <w:sz w:val="18"/>
              </w:rPr>
              <w:t>VH-009</w:t>
            </w:r>
          </w:p>
        </w:tc>
        <w:tc>
          <w:tcPr>
            <w:tcW w:type="dxa" w:w="2760"/>
            <w:tcMar>
              <w:top w:w="80" w:type="dxa"/>
              <w:start w:w="120" w:type="dxa"/>
              <w:bottom w:w="80" w:type="dxa"/>
              <w:end w:w="120" w:type="dxa"/>
            </w:tcMar>
            <w:vAlign w:val="center"/>
          </w:tcPr>
          <w:p>
            <w:pPr>
              <w:spacing w:after="40"/>
            </w:pPr>
            <w:r>
              <w:rPr>
                <w:sz w:val="18"/>
              </w:rPr>
              <w:t>I want a consistent Voice Hub voice for each supported language so that the note sounds similar across devices.</w:t>
            </w:r>
          </w:p>
        </w:tc>
        <w:tc>
          <w:tcPr>
            <w:tcW w:type="dxa" w:w="4560"/>
            <w:tcMar>
              <w:top w:w="80" w:type="dxa"/>
              <w:start w:w="120" w:type="dxa"/>
              <w:bottom w:w="80" w:type="dxa"/>
              <w:end w:w="120" w:type="dxa"/>
            </w:tcMar>
            <w:vAlign w:val="center"/>
          </w:tcPr>
          <w:p>
            <w:pPr>
              <w:spacing w:after="40"/>
            </w:pPr>
            <w:r>
              <w:rPr>
                <w:sz w:val="18"/>
              </w:rPr>
              <w:t>Authenticated create request selects an active language-compatible Spitch profile; response is valid Ogg/Opus; provider failure has a stable code and retry guidance; text is not logged.</w:t>
            </w:r>
          </w:p>
        </w:tc>
        <w:tc>
          <w:tcPr>
            <w:tcW w:type="dxa" w:w="1220"/>
            <w:tcMar>
              <w:top w:w="80" w:type="dxa"/>
              <w:start w:w="120" w:type="dxa"/>
              <w:bottom w:w="80" w:type="dxa"/>
              <w:end w:w="120" w:type="dxa"/>
            </w:tcMar>
            <w:vAlign w:val="center"/>
          </w:tcPr>
          <w:p>
            <w:pPr>
              <w:spacing w:after="40"/>
            </w:pPr>
            <w:r>
              <w:rPr>
                <w:sz w:val="18"/>
              </w:rPr>
              <w:t>P0 • Planned</w:t>
            </w:r>
          </w:p>
        </w:tc>
      </w:tr>
      <w:tr>
        <w:trPr>
          <w:cantSplit/>
        </w:trPr>
        <w:tc>
          <w:tcPr>
            <w:tcW w:type="dxa" w:w="820"/>
            <w:tcMar>
              <w:top w:w="80" w:type="dxa"/>
              <w:start w:w="120" w:type="dxa"/>
              <w:bottom w:w="80" w:type="dxa"/>
              <w:end w:w="120" w:type="dxa"/>
            </w:tcMar>
            <w:vAlign w:val="center"/>
          </w:tcPr>
          <w:p>
            <w:pPr>
              <w:spacing w:after="40"/>
            </w:pPr>
            <w:r>
              <w:rPr>
                <w:sz w:val="18"/>
              </w:rPr>
              <w:t>VH-010</w:t>
            </w:r>
          </w:p>
        </w:tc>
        <w:tc>
          <w:tcPr>
            <w:tcW w:type="dxa" w:w="2760"/>
            <w:tcMar>
              <w:top w:w="80" w:type="dxa"/>
              <w:start w:w="120" w:type="dxa"/>
              <w:bottom w:w="80" w:type="dxa"/>
              <w:end w:w="120" w:type="dxa"/>
            </w:tcMar>
            <w:vAlign w:val="center"/>
          </w:tcPr>
          <w:p>
            <w:pPr>
              <w:spacing w:after="40"/>
            </w:pPr>
            <w:r>
              <w:rPr>
                <w:sz w:val="18"/>
              </w:rPr>
              <w:t>I want to translate English or another supported Nigerian language into Naija Pidgin before synthesis so that I can send a natural Pidgin note.</w:t>
            </w:r>
          </w:p>
        </w:tc>
        <w:tc>
          <w:tcPr>
            <w:tcW w:type="dxa" w:w="4560"/>
            <w:tcMar>
              <w:top w:w="80" w:type="dxa"/>
              <w:start w:w="120" w:type="dxa"/>
              <w:bottom w:w="80" w:type="dxa"/>
              <w:end w:w="120" w:type="dxa"/>
            </w:tcMar>
            <w:vAlign w:val="center"/>
          </w:tcPr>
          <w:p>
            <w:pPr>
              <w:spacing w:after="40"/>
            </w:pPr>
            <w:r>
              <w:rPr>
                <w:sz w:val="18"/>
              </w:rPr>
              <w:t>Translate action previews editable Pidgin text; source language is explicit or detected with confirmation; user can restore original; translation and synthesis are separate actions; target code is pcm.</w:t>
            </w:r>
          </w:p>
        </w:tc>
        <w:tc>
          <w:tcPr>
            <w:tcW w:type="dxa" w:w="1220"/>
            <w:tcMar>
              <w:top w:w="80" w:type="dxa"/>
              <w:start w:w="120" w:type="dxa"/>
              <w:bottom w:w="80" w:type="dxa"/>
              <w:end w:w="120" w:type="dxa"/>
            </w:tcMar>
            <w:vAlign w:val="center"/>
          </w:tcPr>
          <w:p>
            <w:pPr>
              <w:spacing w:after="40"/>
            </w:pPr>
            <w:r>
              <w:rPr>
                <w:sz w:val="18"/>
              </w:rPr>
              <w:t>P0 • Planned</w:t>
            </w:r>
          </w:p>
        </w:tc>
      </w:tr>
    </w:tbl>
    <w:p>
      <w:pPr>
        <w:pStyle w:val="Heading2"/>
        <w:keepNext/>
      </w:pPr>
      <w:r>
        <w:t>E04 — Audio lifecycle and sharing</w:t>
      </w:r>
    </w:p>
    <w:p>
      <w:r>
        <w:rPr>
          <w:b/>
        </w:rPr>
        <w:t xml:space="preserve">Objective: </w:t>
      </w:r>
      <w:r>
        <w:t>Produce valid Ogg/Opus, preview it, save it, and share it safely.</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820"/>
        <w:gridCol w:w="2760"/>
        <w:gridCol w:w="4560"/>
        <w:gridCol w:w="1220"/>
      </w:tblGrid>
      <w:tr>
        <w:trPr>
          <w:tblHeader w:val="true"/>
          <w:cantSplit/>
        </w:trPr>
        <w:tc>
          <w:tcPr>
            <w:tcW w:type="dxa" w:w="820"/>
            <w:tcMar>
              <w:top w:w="80" w:type="dxa"/>
              <w:start w:w="120" w:type="dxa"/>
              <w:bottom w:w="80" w:type="dxa"/>
              <w:end w:w="120" w:type="dxa"/>
            </w:tcMar>
            <w:vAlign w:val="center"/>
            <w:shd w:fill="003B36"/>
          </w:tcPr>
          <w:p>
            <w:r>
              <w:rPr>
                <w:b/>
                <w:color w:val="FFFFFF"/>
                <w:sz w:val="18"/>
              </w:rPr>
              <w:t>ID</w:t>
            </w:r>
          </w:p>
        </w:tc>
        <w:tc>
          <w:tcPr>
            <w:tcW w:type="dxa" w:w="2760"/>
            <w:tcMar>
              <w:top w:w="80" w:type="dxa"/>
              <w:start w:w="120" w:type="dxa"/>
              <w:bottom w:w="80" w:type="dxa"/>
              <w:end w:w="120" w:type="dxa"/>
            </w:tcMar>
            <w:vAlign w:val="center"/>
            <w:shd w:fill="003B36"/>
          </w:tcPr>
          <w:p>
            <w:r>
              <w:rPr>
                <w:b/>
                <w:color w:val="FFFFFF"/>
                <w:sz w:val="18"/>
              </w:rPr>
              <w:t>Requirement</w:t>
            </w:r>
          </w:p>
        </w:tc>
        <w:tc>
          <w:tcPr>
            <w:tcW w:type="dxa" w:w="4560"/>
            <w:tcMar>
              <w:top w:w="80" w:type="dxa"/>
              <w:start w:w="120" w:type="dxa"/>
              <w:bottom w:w="80" w:type="dxa"/>
              <w:end w:w="120" w:type="dxa"/>
            </w:tcMar>
            <w:vAlign w:val="center"/>
            <w:shd w:fill="003B36"/>
          </w:tcPr>
          <w:p>
            <w:r>
              <w:rPr>
                <w:b/>
                <w:color w:val="FFFFFF"/>
                <w:sz w:val="18"/>
              </w:rPr>
              <w:t>Acceptance summary</w:t>
            </w:r>
          </w:p>
        </w:tc>
        <w:tc>
          <w:tcPr>
            <w:tcW w:type="dxa" w:w="1220"/>
            <w:tcMar>
              <w:top w:w="80" w:type="dxa"/>
              <w:start w:w="120" w:type="dxa"/>
              <w:bottom w:w="80" w:type="dxa"/>
              <w:end w:w="120" w:type="dxa"/>
            </w:tcMar>
            <w:vAlign w:val="center"/>
            <w:shd w:fill="003B36"/>
          </w:tcPr>
          <w:p>
            <w:r>
              <w:rPr>
                <w:b/>
                <w:color w:val="FFFFFF"/>
                <w:sz w:val="18"/>
              </w:rPr>
              <w:t>State</w:t>
            </w:r>
          </w:p>
        </w:tc>
      </w:tr>
      <w:tr>
        <w:trPr>
          <w:cantSplit/>
        </w:trPr>
        <w:tc>
          <w:tcPr>
            <w:tcW w:type="dxa" w:w="820"/>
            <w:tcMar>
              <w:top w:w="80" w:type="dxa"/>
              <w:start w:w="120" w:type="dxa"/>
              <w:bottom w:w="80" w:type="dxa"/>
              <w:end w:w="120" w:type="dxa"/>
            </w:tcMar>
            <w:vAlign w:val="center"/>
          </w:tcPr>
          <w:p>
            <w:pPr>
              <w:spacing w:after="40"/>
            </w:pPr>
            <w:r>
              <w:rPr>
                <w:sz w:val="18"/>
              </w:rPr>
              <w:t>VH-011</w:t>
            </w:r>
          </w:p>
        </w:tc>
        <w:tc>
          <w:tcPr>
            <w:tcW w:type="dxa" w:w="2760"/>
            <w:tcMar>
              <w:top w:w="80" w:type="dxa"/>
              <w:start w:w="120" w:type="dxa"/>
              <w:bottom w:w="80" w:type="dxa"/>
              <w:end w:w="120" w:type="dxa"/>
            </w:tcMar>
            <w:vAlign w:val="center"/>
          </w:tcPr>
          <w:p>
            <w:pPr>
              <w:spacing w:after="40"/>
            </w:pPr>
            <w:r>
              <w:rPr>
                <w:sz w:val="18"/>
              </w:rPr>
              <w:t>I want every cloud-generated note delivered as standards-compliant Ogg/Opus so that WhatsApp and storage handling are predictable.</w:t>
            </w:r>
          </w:p>
        </w:tc>
        <w:tc>
          <w:tcPr>
            <w:tcW w:type="dxa" w:w="4560"/>
            <w:tcMar>
              <w:top w:w="80" w:type="dxa"/>
              <w:start w:w="120" w:type="dxa"/>
              <w:bottom w:w="80" w:type="dxa"/>
              <w:end w:w="120" w:type="dxa"/>
            </w:tcMar>
            <w:vAlign w:val="center"/>
          </w:tcPr>
          <w:p>
            <w:pPr>
              <w:spacing w:after="40"/>
            </w:pPr>
            <w:r>
              <w:rPr>
                <w:sz w:val="18"/>
              </w:rPr>
              <w:t>MIME is audio/ogg; codec validates as Opus; duration, size, checksum, and storage key are recorded; corrupt or mislabeled bytes are rejected.</w:t>
            </w:r>
          </w:p>
        </w:tc>
        <w:tc>
          <w:tcPr>
            <w:tcW w:type="dxa" w:w="1220"/>
            <w:shd w:fill="E5F2F0"/>
            <w:tcMar>
              <w:top w:w="80" w:type="dxa"/>
              <w:start w:w="120" w:type="dxa"/>
              <w:bottom w:w="80" w:type="dxa"/>
              <w:end w:w="120" w:type="dxa"/>
            </w:tcMar>
            <w:vAlign w:val="center"/>
          </w:tcPr>
          <w:p>
            <w:pPr>
              <w:spacing w:after="40"/>
            </w:pPr>
            <w:r>
              <w:rPr>
                <w:sz w:val="18"/>
              </w:rPr>
              <w:t>P0 • Done</w:t>
            </w:r>
          </w:p>
        </w:tc>
      </w:tr>
      <w:tr>
        <w:trPr>
          <w:cantSplit/>
        </w:trPr>
        <w:tc>
          <w:tcPr>
            <w:tcW w:type="dxa" w:w="820"/>
            <w:tcMar>
              <w:top w:w="80" w:type="dxa"/>
              <w:start w:w="120" w:type="dxa"/>
              <w:bottom w:w="80" w:type="dxa"/>
              <w:end w:w="120" w:type="dxa"/>
            </w:tcMar>
            <w:vAlign w:val="center"/>
          </w:tcPr>
          <w:p>
            <w:pPr>
              <w:spacing w:after="40"/>
            </w:pPr>
            <w:r>
              <w:rPr>
                <w:sz w:val="18"/>
              </w:rPr>
              <w:t>VH-012</w:t>
            </w:r>
          </w:p>
        </w:tc>
        <w:tc>
          <w:tcPr>
            <w:tcW w:type="dxa" w:w="2760"/>
            <w:tcMar>
              <w:top w:w="80" w:type="dxa"/>
              <w:start w:w="120" w:type="dxa"/>
              <w:bottom w:w="80" w:type="dxa"/>
              <w:end w:w="120" w:type="dxa"/>
            </w:tcMar>
            <w:vAlign w:val="center"/>
          </w:tcPr>
          <w:p>
            <w:pPr>
              <w:spacing w:after="40"/>
            </w:pPr>
            <w:r>
              <w:rPr>
                <w:sz w:val="18"/>
              </w:rPr>
              <w:t>As a creator using Device voice, I want the generated audio converted to Ogg/Opus on-device so that I can save and share the same portable format.</w:t>
            </w:r>
          </w:p>
        </w:tc>
        <w:tc>
          <w:tcPr>
            <w:tcW w:type="dxa" w:w="4560"/>
            <w:tcMar>
              <w:top w:w="80" w:type="dxa"/>
              <w:start w:w="120" w:type="dxa"/>
              <w:bottom w:w="80" w:type="dxa"/>
              <w:end w:w="120" w:type="dxa"/>
            </w:tcMar>
            <w:vAlign w:val="center"/>
          </w:tcPr>
          <w:p>
            <w:pPr>
              <w:spacing w:after="40"/>
            </w:pPr>
            <w:r>
              <w:rPr>
                <w:sz w:val="18"/>
              </w:rPr>
              <w:t>Android 10+ uses a verified Opus/Ogg path; Android 8-9 uses the approved bundled native codec or is explicitly unsupported; golden files pass ffprobe and playback tests; native licenses are documented.</w:t>
            </w:r>
          </w:p>
        </w:tc>
        <w:tc>
          <w:tcPr>
            <w:tcW w:type="dxa" w:w="1220"/>
            <w:tcMar>
              <w:top w:w="80" w:type="dxa"/>
              <w:start w:w="120" w:type="dxa"/>
              <w:bottom w:w="80" w:type="dxa"/>
              <w:end w:w="120" w:type="dxa"/>
            </w:tcMar>
            <w:vAlign w:val="center"/>
          </w:tcPr>
          <w:p>
            <w:pPr>
              <w:spacing w:after="40"/>
            </w:pPr>
            <w:r>
              <w:rPr>
                <w:sz w:val="18"/>
              </w:rPr>
              <w:t>P0 • Planned</w:t>
            </w:r>
          </w:p>
        </w:tc>
      </w:tr>
      <w:tr>
        <w:trPr>
          <w:cantSplit/>
        </w:trPr>
        <w:tc>
          <w:tcPr>
            <w:tcW w:type="dxa" w:w="820"/>
            <w:tcMar>
              <w:top w:w="80" w:type="dxa"/>
              <w:start w:w="120" w:type="dxa"/>
              <w:bottom w:w="80" w:type="dxa"/>
              <w:end w:w="120" w:type="dxa"/>
            </w:tcMar>
            <w:vAlign w:val="center"/>
          </w:tcPr>
          <w:p>
            <w:pPr>
              <w:spacing w:after="40"/>
            </w:pPr>
            <w:r>
              <w:rPr>
                <w:sz w:val="18"/>
              </w:rPr>
              <w:t>VH-013</w:t>
            </w:r>
          </w:p>
        </w:tc>
        <w:tc>
          <w:tcPr>
            <w:tcW w:type="dxa" w:w="2760"/>
            <w:tcMar>
              <w:top w:w="80" w:type="dxa"/>
              <w:start w:w="120" w:type="dxa"/>
              <w:bottom w:w="80" w:type="dxa"/>
              <w:end w:w="120" w:type="dxa"/>
            </w:tcMar>
            <w:vAlign w:val="center"/>
          </w:tcPr>
          <w:p>
            <w:pPr>
              <w:spacing w:after="40"/>
            </w:pPr>
            <w:r>
              <w:rPr>
                <w:sz w:val="18"/>
              </w:rPr>
              <w:t>I want to preview, pause, replay, rename, save, and delete a generated note before sharing so that I remain in control of the file.</w:t>
            </w:r>
          </w:p>
        </w:tc>
        <w:tc>
          <w:tcPr>
            <w:tcW w:type="dxa" w:w="4560"/>
            <w:tcMar>
              <w:top w:w="80" w:type="dxa"/>
              <w:start w:w="120" w:type="dxa"/>
              <w:bottom w:w="80" w:type="dxa"/>
              <w:end w:w="120" w:type="dxa"/>
            </w:tcMar>
            <w:vAlign w:val="center"/>
          </w:tcPr>
          <w:p>
            <w:pPr>
              <w:spacing w:after="40"/>
            </w:pPr>
            <w:r>
              <w:rPr>
                <w:sz w:val="18"/>
              </w:rPr>
              <w:t>Preview uses the exact share file; saved file appears in user-selected storage; deletion removes app-owned copies; failures preserve the draft; accessibility labels cover playback controls.</w:t>
            </w:r>
          </w:p>
        </w:tc>
        <w:tc>
          <w:tcPr>
            <w:tcW w:type="dxa" w:w="1220"/>
            <w:tcMar>
              <w:top w:w="80" w:type="dxa"/>
              <w:start w:w="120" w:type="dxa"/>
              <w:bottom w:w="80" w:type="dxa"/>
              <w:end w:w="120" w:type="dxa"/>
            </w:tcMar>
            <w:vAlign w:val="center"/>
          </w:tcPr>
          <w:p>
            <w:pPr>
              <w:spacing w:after="40"/>
            </w:pPr>
            <w:r>
              <w:rPr>
                <w:sz w:val="18"/>
              </w:rPr>
              <w:t>P0 • In Progress</w:t>
            </w:r>
          </w:p>
        </w:tc>
      </w:tr>
      <w:tr>
        <w:trPr>
          <w:cantSplit/>
        </w:trPr>
        <w:tc>
          <w:tcPr>
            <w:tcW w:type="dxa" w:w="820"/>
            <w:tcMar>
              <w:top w:w="80" w:type="dxa"/>
              <w:start w:w="120" w:type="dxa"/>
              <w:bottom w:w="80" w:type="dxa"/>
              <w:end w:w="120" w:type="dxa"/>
            </w:tcMar>
            <w:vAlign w:val="center"/>
          </w:tcPr>
          <w:p>
            <w:pPr>
              <w:spacing w:after="40"/>
            </w:pPr>
            <w:r>
              <w:rPr>
                <w:sz w:val="18"/>
              </w:rPr>
              <w:t>VH-014</w:t>
            </w:r>
          </w:p>
        </w:tc>
        <w:tc>
          <w:tcPr>
            <w:tcW w:type="dxa" w:w="2760"/>
            <w:tcMar>
              <w:top w:w="80" w:type="dxa"/>
              <w:start w:w="120" w:type="dxa"/>
              <w:bottom w:w="80" w:type="dxa"/>
              <w:end w:w="120" w:type="dxa"/>
            </w:tcMar>
            <w:vAlign w:val="center"/>
          </w:tcPr>
          <w:p>
            <w:pPr>
              <w:spacing w:after="40"/>
            </w:pPr>
            <w:r>
              <w:rPr>
                <w:sz w:val="18"/>
              </w:rPr>
              <w:t>I want one-tap WhatsApp sharing plus a standard share sheet so that I can send the note where I choose.</w:t>
            </w:r>
          </w:p>
        </w:tc>
        <w:tc>
          <w:tcPr>
            <w:tcW w:type="dxa" w:w="4560"/>
            <w:tcMar>
              <w:top w:w="80" w:type="dxa"/>
              <w:start w:w="120" w:type="dxa"/>
              <w:bottom w:w="80" w:type="dxa"/>
              <w:end w:w="120" w:type="dxa"/>
            </w:tcMar>
            <w:vAlign w:val="center"/>
          </w:tcPr>
          <w:p>
            <w:pPr>
              <w:spacing w:after="40"/>
            </w:pPr>
            <w:r>
              <w:rPr>
                <w:sz w:val="18"/>
              </w:rPr>
              <w:t>WhatsApp target is offered when installed; generic chooser always remains available; content URI is temporary and scoped; AI-audio disclosure accompanies the share; cancellation is non-error.</w:t>
            </w:r>
          </w:p>
        </w:tc>
        <w:tc>
          <w:tcPr>
            <w:tcW w:type="dxa" w:w="1220"/>
            <w:tcMar>
              <w:top w:w="80" w:type="dxa"/>
              <w:start w:w="120" w:type="dxa"/>
              <w:bottom w:w="80" w:type="dxa"/>
              <w:end w:w="120" w:type="dxa"/>
            </w:tcMar>
            <w:vAlign w:val="center"/>
          </w:tcPr>
          <w:p>
            <w:pPr>
              <w:spacing w:after="40"/>
            </w:pPr>
            <w:r>
              <w:rPr>
                <w:sz w:val="18"/>
              </w:rPr>
              <w:t>P0 • In Progress</w:t>
            </w:r>
          </w:p>
        </w:tc>
      </w:tr>
      <w:tr>
        <w:trPr>
          <w:cantSplit/>
        </w:trPr>
        <w:tc>
          <w:tcPr>
            <w:tcW w:type="dxa" w:w="820"/>
            <w:tcMar>
              <w:top w:w="80" w:type="dxa"/>
              <w:start w:w="120" w:type="dxa"/>
              <w:bottom w:w="80" w:type="dxa"/>
              <w:end w:w="120" w:type="dxa"/>
            </w:tcMar>
            <w:vAlign w:val="center"/>
          </w:tcPr>
          <w:p>
            <w:pPr>
              <w:spacing w:after="40"/>
            </w:pPr>
            <w:r>
              <w:rPr>
                <w:sz w:val="18"/>
              </w:rPr>
              <w:t>VH-015</w:t>
            </w:r>
          </w:p>
        </w:tc>
        <w:tc>
          <w:tcPr>
            <w:tcW w:type="dxa" w:w="2760"/>
            <w:tcMar>
              <w:top w:w="80" w:type="dxa"/>
              <w:start w:w="120" w:type="dxa"/>
              <w:bottom w:w="80" w:type="dxa"/>
              <w:end w:w="120" w:type="dxa"/>
            </w:tcMar>
            <w:vAlign w:val="center"/>
          </w:tcPr>
          <w:p>
            <w:pPr>
              <w:spacing w:after="40"/>
            </w:pPr>
            <w:r>
              <w:rPr>
                <w:sz w:val="18"/>
              </w:rPr>
              <w:t>I want cloud generation to complete asynchronously so that long provider calls do not hold an API request open.</w:t>
            </w:r>
          </w:p>
        </w:tc>
        <w:tc>
          <w:tcPr>
            <w:tcW w:type="dxa" w:w="4560"/>
            <w:tcMar>
              <w:top w:w="80" w:type="dxa"/>
              <w:start w:w="120" w:type="dxa"/>
              <w:bottom w:w="80" w:type="dxa"/>
              <w:end w:w="120" w:type="dxa"/>
            </w:tcMar>
            <w:vAlign w:val="center"/>
          </w:tcPr>
          <w:p>
            <w:pPr>
              <w:spacing w:after="40"/>
            </w:pPr>
            <w:r>
              <w:rPr>
                <w:sz w:val="18"/>
              </w:rPr>
              <w:t>POST returns a job identifier; status polling or push reports queued/processing/ready/failed; retry is idempotent; completed media URL is time-limited or access-controlled.</w:t>
            </w:r>
          </w:p>
        </w:tc>
        <w:tc>
          <w:tcPr>
            <w:tcW w:type="dxa" w:w="1220"/>
            <w:tcMar>
              <w:top w:w="80" w:type="dxa"/>
              <w:start w:w="120" w:type="dxa"/>
              <w:bottom w:w="80" w:type="dxa"/>
              <w:end w:w="120" w:type="dxa"/>
            </w:tcMar>
            <w:vAlign w:val="center"/>
          </w:tcPr>
          <w:p>
            <w:pPr>
              <w:spacing w:after="40"/>
            </w:pPr>
            <w:r>
              <w:rPr>
                <w:sz w:val="18"/>
              </w:rPr>
              <w:t>P0 • Planned</w:t>
            </w:r>
          </w:p>
        </w:tc>
      </w:tr>
    </w:tbl>
    <w:p>
      <w:pPr>
        <w:pStyle w:val="Heading2"/>
        <w:keepNext/>
      </w:pPr>
      <w:r>
        <w:t>E05 — Editorial publishing and feed</w:t>
      </w:r>
    </w:p>
    <w:p>
      <w:r>
        <w:rPr>
          <w:b/>
        </w:rPr>
        <w:t xml:space="preserve">Objective: </w:t>
      </w:r>
      <w:r>
        <w:t>Publish reviewed, attributable channel episodes and deliver a useful in-app feed.</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820"/>
        <w:gridCol w:w="2760"/>
        <w:gridCol w:w="4560"/>
        <w:gridCol w:w="1220"/>
      </w:tblGrid>
      <w:tr>
        <w:trPr>
          <w:tblHeader w:val="true"/>
          <w:cantSplit/>
        </w:trPr>
        <w:tc>
          <w:tcPr>
            <w:tcW w:type="dxa" w:w="820"/>
            <w:tcMar>
              <w:top w:w="80" w:type="dxa"/>
              <w:start w:w="120" w:type="dxa"/>
              <w:bottom w:w="80" w:type="dxa"/>
              <w:end w:w="120" w:type="dxa"/>
            </w:tcMar>
            <w:vAlign w:val="center"/>
            <w:shd w:fill="003B36"/>
          </w:tcPr>
          <w:p>
            <w:r>
              <w:rPr>
                <w:b/>
                <w:color w:val="FFFFFF"/>
                <w:sz w:val="18"/>
              </w:rPr>
              <w:t>ID</w:t>
            </w:r>
          </w:p>
        </w:tc>
        <w:tc>
          <w:tcPr>
            <w:tcW w:type="dxa" w:w="2760"/>
            <w:tcMar>
              <w:top w:w="80" w:type="dxa"/>
              <w:start w:w="120" w:type="dxa"/>
              <w:bottom w:w="80" w:type="dxa"/>
              <w:end w:w="120" w:type="dxa"/>
            </w:tcMar>
            <w:vAlign w:val="center"/>
            <w:shd w:fill="003B36"/>
          </w:tcPr>
          <w:p>
            <w:r>
              <w:rPr>
                <w:b/>
                <w:color w:val="FFFFFF"/>
                <w:sz w:val="18"/>
              </w:rPr>
              <w:t>Requirement</w:t>
            </w:r>
          </w:p>
        </w:tc>
        <w:tc>
          <w:tcPr>
            <w:tcW w:type="dxa" w:w="4560"/>
            <w:tcMar>
              <w:top w:w="80" w:type="dxa"/>
              <w:start w:w="120" w:type="dxa"/>
              <w:bottom w:w="80" w:type="dxa"/>
              <w:end w:w="120" w:type="dxa"/>
            </w:tcMar>
            <w:vAlign w:val="center"/>
            <w:shd w:fill="003B36"/>
          </w:tcPr>
          <w:p>
            <w:r>
              <w:rPr>
                <w:b/>
                <w:color w:val="FFFFFF"/>
                <w:sz w:val="18"/>
              </w:rPr>
              <w:t>Acceptance summary</w:t>
            </w:r>
          </w:p>
        </w:tc>
        <w:tc>
          <w:tcPr>
            <w:tcW w:type="dxa" w:w="1220"/>
            <w:tcMar>
              <w:top w:w="80" w:type="dxa"/>
              <w:start w:w="120" w:type="dxa"/>
              <w:bottom w:w="80" w:type="dxa"/>
              <w:end w:w="120" w:type="dxa"/>
            </w:tcMar>
            <w:vAlign w:val="center"/>
            <w:shd w:fill="003B36"/>
          </w:tcPr>
          <w:p>
            <w:r>
              <w:rPr>
                <w:b/>
                <w:color w:val="FFFFFF"/>
                <w:sz w:val="18"/>
              </w:rPr>
              <w:t>State</w:t>
            </w:r>
          </w:p>
        </w:tc>
      </w:tr>
      <w:tr>
        <w:trPr>
          <w:cantSplit/>
        </w:trPr>
        <w:tc>
          <w:tcPr>
            <w:tcW w:type="dxa" w:w="820"/>
            <w:tcMar>
              <w:top w:w="80" w:type="dxa"/>
              <w:start w:w="120" w:type="dxa"/>
              <w:bottom w:w="80" w:type="dxa"/>
              <w:end w:w="120" w:type="dxa"/>
            </w:tcMar>
            <w:vAlign w:val="center"/>
          </w:tcPr>
          <w:p>
            <w:pPr>
              <w:spacing w:after="40"/>
            </w:pPr>
            <w:r>
              <w:rPr>
                <w:sz w:val="18"/>
              </w:rPr>
              <w:t>VH-016</w:t>
            </w:r>
          </w:p>
        </w:tc>
        <w:tc>
          <w:tcPr>
            <w:tcW w:type="dxa" w:w="2760"/>
            <w:tcMar>
              <w:top w:w="80" w:type="dxa"/>
              <w:start w:w="120" w:type="dxa"/>
              <w:bottom w:w="80" w:type="dxa"/>
              <w:end w:w="120" w:type="dxa"/>
            </w:tcMar>
            <w:vAlign w:val="center"/>
          </w:tcPr>
          <w:p>
            <w:pPr>
              <w:spacing w:after="40"/>
            </w:pPr>
            <w:r>
              <w:rPr>
                <w:sz w:val="18"/>
              </w:rPr>
              <w:t>I want to submit a script with source, review reference, language, and voice profile so that every episode has accountable provenance.</w:t>
            </w:r>
          </w:p>
        </w:tc>
        <w:tc>
          <w:tcPr>
            <w:tcW w:type="dxa" w:w="4560"/>
            <w:tcMar>
              <w:top w:w="80" w:type="dxa"/>
              <w:start w:w="120" w:type="dxa"/>
              <w:bottom w:w="80" w:type="dxa"/>
              <w:end w:w="120" w:type="dxa"/>
            </w:tcMar>
            <w:vAlign w:val="center"/>
          </w:tcPr>
          <w:p>
            <w:pPr>
              <w:spacing w:after="40"/>
            </w:pPr>
            <w:r>
              <w:rPr>
                <w:sz w:val="18"/>
              </w:rPr>
              <w:t>Publish rejects missing source/review; authenticated publisher owns the channel; idempotency key produces one episode; episode and synthesis job commit together.</w:t>
            </w:r>
          </w:p>
        </w:tc>
        <w:tc>
          <w:tcPr>
            <w:tcW w:type="dxa" w:w="1220"/>
            <w:shd w:fill="E5F2F0"/>
            <w:tcMar>
              <w:top w:w="80" w:type="dxa"/>
              <w:start w:w="120" w:type="dxa"/>
              <w:bottom w:w="80" w:type="dxa"/>
              <w:end w:w="120" w:type="dxa"/>
            </w:tcMar>
            <w:vAlign w:val="center"/>
          </w:tcPr>
          <w:p>
            <w:pPr>
              <w:spacing w:after="40"/>
            </w:pPr>
            <w:r>
              <w:rPr>
                <w:sz w:val="18"/>
              </w:rPr>
              <w:t>P0 • Done</w:t>
            </w:r>
          </w:p>
        </w:tc>
      </w:tr>
      <w:tr>
        <w:trPr>
          <w:cantSplit/>
        </w:trPr>
        <w:tc>
          <w:tcPr>
            <w:tcW w:type="dxa" w:w="820"/>
            <w:tcMar>
              <w:top w:w="80" w:type="dxa"/>
              <w:start w:w="120" w:type="dxa"/>
              <w:bottom w:w="80" w:type="dxa"/>
              <w:end w:w="120" w:type="dxa"/>
            </w:tcMar>
            <w:vAlign w:val="center"/>
          </w:tcPr>
          <w:p>
            <w:pPr>
              <w:spacing w:after="40"/>
            </w:pPr>
            <w:r>
              <w:rPr>
                <w:sz w:val="18"/>
              </w:rPr>
              <w:t>VH-017</w:t>
            </w:r>
          </w:p>
        </w:tc>
        <w:tc>
          <w:tcPr>
            <w:tcW w:type="dxa" w:w="2760"/>
            <w:tcMar>
              <w:top w:w="80" w:type="dxa"/>
              <w:start w:w="120" w:type="dxa"/>
              <w:bottom w:w="80" w:type="dxa"/>
              <w:end w:w="120" w:type="dxa"/>
            </w:tcMar>
            <w:vAlign w:val="center"/>
          </w:tcPr>
          <w:p>
            <w:pPr>
              <w:spacing w:after="40"/>
            </w:pPr>
            <w:r>
              <w:rPr>
                <w:sz w:val="18"/>
              </w:rPr>
              <w:t>As an editor, I want distinct policies for gist, relationships, and jobs so that risky or stale content is caught before release.</w:t>
            </w:r>
          </w:p>
        </w:tc>
        <w:tc>
          <w:tcPr>
            <w:tcW w:type="dxa" w:w="4560"/>
            <w:tcMar>
              <w:top w:w="80" w:type="dxa"/>
              <w:start w:w="120" w:type="dxa"/>
              <w:bottom w:w="80" w:type="dxa"/>
              <w:end w:w="120" w:type="dxa"/>
            </w:tcMar>
            <w:vAlign w:val="center"/>
          </w:tcPr>
          <w:p>
            <w:pPr>
              <w:spacing w:after="40"/>
            </w:pPr>
            <w:r>
              <w:rPr>
                <w:sz w:val="18"/>
              </w:rPr>
              <w:t>Gist requires attributable sources and takedown route; relationship content includes advice boundaries; jobs require verified source, expiry, and scam-report path; review checklist is versioned.</w:t>
            </w:r>
          </w:p>
        </w:tc>
        <w:tc>
          <w:tcPr>
            <w:tcW w:type="dxa" w:w="1220"/>
            <w:tcMar>
              <w:top w:w="80" w:type="dxa"/>
              <w:start w:w="120" w:type="dxa"/>
              <w:bottom w:w="80" w:type="dxa"/>
              <w:end w:w="120" w:type="dxa"/>
            </w:tcMar>
            <w:vAlign w:val="center"/>
          </w:tcPr>
          <w:p>
            <w:pPr>
              <w:spacing w:after="40"/>
            </w:pPr>
            <w:r>
              <w:rPr>
                <w:sz w:val="18"/>
              </w:rPr>
              <w:t>P0 • Planned</w:t>
            </w:r>
          </w:p>
        </w:tc>
      </w:tr>
      <w:tr>
        <w:trPr>
          <w:cantSplit/>
        </w:trPr>
        <w:tc>
          <w:tcPr>
            <w:tcW w:type="dxa" w:w="820"/>
            <w:tcMar>
              <w:top w:w="80" w:type="dxa"/>
              <w:start w:w="120" w:type="dxa"/>
              <w:bottom w:w="80" w:type="dxa"/>
              <w:end w:w="120" w:type="dxa"/>
            </w:tcMar>
            <w:vAlign w:val="center"/>
          </w:tcPr>
          <w:p>
            <w:pPr>
              <w:spacing w:after="40"/>
            </w:pPr>
            <w:r>
              <w:rPr>
                <w:sz w:val="18"/>
              </w:rPr>
              <w:t>VH-018</w:t>
            </w:r>
          </w:p>
        </w:tc>
        <w:tc>
          <w:tcPr>
            <w:tcW w:type="dxa" w:w="2760"/>
            <w:tcMar>
              <w:top w:w="80" w:type="dxa"/>
              <w:start w:w="120" w:type="dxa"/>
              <w:bottom w:w="80" w:type="dxa"/>
              <w:end w:w="120" w:type="dxa"/>
            </w:tcMar>
            <w:vAlign w:val="center"/>
          </w:tcPr>
          <w:p>
            <w:pPr>
              <w:spacing w:after="40"/>
            </w:pPr>
            <w:r>
              <w:rPr>
                <w:sz w:val="18"/>
              </w:rPr>
              <w:t>I want to browse, follow, and play the latest channel episodes so that relevant audio is easy to hear.</w:t>
            </w:r>
          </w:p>
        </w:tc>
        <w:tc>
          <w:tcPr>
            <w:tcW w:type="dxa" w:w="4560"/>
            <w:tcMar>
              <w:top w:w="80" w:type="dxa"/>
              <w:start w:w="120" w:type="dxa"/>
              <w:bottom w:w="80" w:type="dxa"/>
              <w:end w:w="120" w:type="dxa"/>
            </w:tcMar>
            <w:vAlign w:val="center"/>
          </w:tcPr>
          <w:p>
            <w:pPr>
              <w:spacing w:after="40"/>
            </w:pPr>
            <w:r>
              <w:rPr>
                <w:sz w:val="18"/>
              </w:rPr>
              <w:t>Catalog groups gist/relationships/jobs; follow state survives restart; feed shows publish time, language, duration, source label, and AI-audio label; playback resumes and handles network loss.</w:t>
            </w:r>
          </w:p>
        </w:tc>
        <w:tc>
          <w:tcPr>
            <w:tcW w:type="dxa" w:w="1220"/>
            <w:tcMar>
              <w:top w:w="80" w:type="dxa"/>
              <w:start w:w="120" w:type="dxa"/>
              <w:bottom w:w="80" w:type="dxa"/>
              <w:end w:w="120" w:type="dxa"/>
            </w:tcMar>
            <w:vAlign w:val="center"/>
          </w:tcPr>
          <w:p>
            <w:pPr>
              <w:spacing w:after="40"/>
            </w:pPr>
            <w:r>
              <w:rPr>
                <w:sz w:val="18"/>
              </w:rPr>
              <w:t>P0 • In Progress</w:t>
            </w:r>
          </w:p>
        </w:tc>
      </w:tr>
    </w:tbl>
    <w:p>
      <w:pPr>
        <w:pStyle w:val="Heading2"/>
        <w:keepNext/>
      </w:pPr>
      <w:r>
        <w:t>E06 — WhatsApp subscriptions and delivery</w:t>
      </w:r>
    </w:p>
    <w:p>
      <w:r>
        <w:rPr>
          <w:b/>
        </w:rPr>
        <w:t xml:space="preserve">Objective: </w:t>
      </w:r>
      <w:r>
        <w:t>Collect explicit consent and deliver/reconcile compliant WhatsApp messages.</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820"/>
        <w:gridCol w:w="2760"/>
        <w:gridCol w:w="4560"/>
        <w:gridCol w:w="1220"/>
      </w:tblGrid>
      <w:tr>
        <w:trPr>
          <w:tblHeader w:val="true"/>
          <w:cantSplit/>
        </w:trPr>
        <w:tc>
          <w:tcPr>
            <w:tcW w:type="dxa" w:w="820"/>
            <w:tcMar>
              <w:top w:w="80" w:type="dxa"/>
              <w:start w:w="120" w:type="dxa"/>
              <w:bottom w:w="80" w:type="dxa"/>
              <w:end w:w="120" w:type="dxa"/>
            </w:tcMar>
            <w:vAlign w:val="center"/>
            <w:shd w:fill="003B36"/>
          </w:tcPr>
          <w:p>
            <w:r>
              <w:rPr>
                <w:b/>
                <w:color w:val="FFFFFF"/>
                <w:sz w:val="18"/>
              </w:rPr>
              <w:t>ID</w:t>
            </w:r>
          </w:p>
        </w:tc>
        <w:tc>
          <w:tcPr>
            <w:tcW w:type="dxa" w:w="2760"/>
            <w:tcMar>
              <w:top w:w="80" w:type="dxa"/>
              <w:start w:w="120" w:type="dxa"/>
              <w:bottom w:w="80" w:type="dxa"/>
              <w:end w:w="120" w:type="dxa"/>
            </w:tcMar>
            <w:vAlign w:val="center"/>
            <w:shd w:fill="003B36"/>
          </w:tcPr>
          <w:p>
            <w:r>
              <w:rPr>
                <w:b/>
                <w:color w:val="FFFFFF"/>
                <w:sz w:val="18"/>
              </w:rPr>
              <w:t>Requirement</w:t>
            </w:r>
          </w:p>
        </w:tc>
        <w:tc>
          <w:tcPr>
            <w:tcW w:type="dxa" w:w="4560"/>
            <w:tcMar>
              <w:top w:w="80" w:type="dxa"/>
              <w:start w:w="120" w:type="dxa"/>
              <w:bottom w:w="80" w:type="dxa"/>
              <w:end w:w="120" w:type="dxa"/>
            </w:tcMar>
            <w:vAlign w:val="center"/>
            <w:shd w:fill="003B36"/>
          </w:tcPr>
          <w:p>
            <w:r>
              <w:rPr>
                <w:b/>
                <w:color w:val="FFFFFF"/>
                <w:sz w:val="18"/>
              </w:rPr>
              <w:t>Acceptance summary</w:t>
            </w:r>
          </w:p>
        </w:tc>
        <w:tc>
          <w:tcPr>
            <w:tcW w:type="dxa" w:w="1220"/>
            <w:tcMar>
              <w:top w:w="80" w:type="dxa"/>
              <w:start w:w="120" w:type="dxa"/>
              <w:bottom w:w="80" w:type="dxa"/>
              <w:end w:w="120" w:type="dxa"/>
            </w:tcMar>
            <w:vAlign w:val="center"/>
            <w:shd w:fill="003B36"/>
          </w:tcPr>
          <w:p>
            <w:r>
              <w:rPr>
                <w:b/>
                <w:color w:val="FFFFFF"/>
                <w:sz w:val="18"/>
              </w:rPr>
              <w:t>State</w:t>
            </w:r>
          </w:p>
        </w:tc>
      </w:tr>
      <w:tr>
        <w:trPr>
          <w:cantSplit/>
        </w:trPr>
        <w:tc>
          <w:tcPr>
            <w:tcW w:type="dxa" w:w="820"/>
            <w:tcMar>
              <w:top w:w="80" w:type="dxa"/>
              <w:start w:w="120" w:type="dxa"/>
              <w:bottom w:w="80" w:type="dxa"/>
              <w:end w:w="120" w:type="dxa"/>
            </w:tcMar>
            <w:vAlign w:val="center"/>
          </w:tcPr>
          <w:p>
            <w:pPr>
              <w:spacing w:after="40"/>
            </w:pPr>
            <w:r>
              <w:rPr>
                <w:sz w:val="18"/>
              </w:rPr>
              <w:t>VH-019</w:t>
            </w:r>
          </w:p>
        </w:tc>
        <w:tc>
          <w:tcPr>
            <w:tcW w:type="dxa" w:w="2760"/>
            <w:tcMar>
              <w:top w:w="80" w:type="dxa"/>
              <w:start w:w="120" w:type="dxa"/>
              <w:bottom w:w="80" w:type="dxa"/>
              <w:end w:w="120" w:type="dxa"/>
            </w:tcMar>
            <w:vAlign w:val="center"/>
          </w:tcPr>
          <w:p>
            <w:pPr>
              <w:spacing w:after="40"/>
            </w:pPr>
            <w:r>
              <w:rPr>
                <w:sz w:val="18"/>
              </w:rPr>
              <w:t>I want WhatsApp delivery to require separate explicit consent so that following a channel does not enroll my phone number.</w:t>
            </w:r>
          </w:p>
        </w:tc>
        <w:tc>
          <w:tcPr>
            <w:tcW w:type="dxa" w:w="4560"/>
            <w:tcMar>
              <w:top w:w="80" w:type="dxa"/>
              <w:start w:w="120" w:type="dxa"/>
              <w:bottom w:w="80" w:type="dxa"/>
              <w:end w:w="120" w:type="dxa"/>
            </w:tcMar>
            <w:vAlign w:val="center"/>
          </w:tcPr>
          <w:p>
            <w:pPr>
              <w:spacing w:after="40"/>
            </w:pPr>
            <w:r>
              <w:rPr>
                <w:sz w:val="18"/>
              </w:rPr>
              <w:t>Consent stores normalized recipient, version, timestamp, channel/transport scope, and revocation; app follow alone cannot create WhatsApp delivery; consent copy is retrievable for audit.</w:t>
            </w:r>
          </w:p>
        </w:tc>
        <w:tc>
          <w:tcPr>
            <w:tcW w:type="dxa" w:w="1220"/>
            <w:shd w:fill="E5F2F0"/>
            <w:tcMar>
              <w:top w:w="80" w:type="dxa"/>
              <w:start w:w="120" w:type="dxa"/>
              <w:bottom w:w="80" w:type="dxa"/>
              <w:end w:w="120" w:type="dxa"/>
            </w:tcMar>
            <w:vAlign w:val="center"/>
          </w:tcPr>
          <w:p>
            <w:pPr>
              <w:spacing w:after="40"/>
            </w:pPr>
            <w:r>
              <w:rPr>
                <w:sz w:val="18"/>
              </w:rPr>
              <w:t>P0 • Done</w:t>
            </w:r>
          </w:p>
        </w:tc>
      </w:tr>
      <w:tr>
        <w:trPr>
          <w:cantSplit/>
        </w:trPr>
        <w:tc>
          <w:tcPr>
            <w:tcW w:type="dxa" w:w="820"/>
            <w:tcMar>
              <w:top w:w="80" w:type="dxa"/>
              <w:start w:w="120" w:type="dxa"/>
              <w:bottom w:w="80" w:type="dxa"/>
              <w:end w:w="120" w:type="dxa"/>
            </w:tcMar>
            <w:vAlign w:val="center"/>
          </w:tcPr>
          <w:p>
            <w:pPr>
              <w:spacing w:after="40"/>
            </w:pPr>
            <w:r>
              <w:rPr>
                <w:sz w:val="18"/>
              </w:rPr>
              <w:t>VH-020</w:t>
            </w:r>
          </w:p>
        </w:tc>
        <w:tc>
          <w:tcPr>
            <w:tcW w:type="dxa" w:w="2760"/>
            <w:tcMar>
              <w:top w:w="80" w:type="dxa"/>
              <w:start w:w="120" w:type="dxa"/>
              <w:bottom w:w="80" w:type="dxa"/>
              <w:end w:w="120" w:type="dxa"/>
            </w:tcMar>
            <w:vAlign w:val="center"/>
          </w:tcPr>
          <w:p>
            <w:pPr>
              <w:spacing w:after="40"/>
            </w:pPr>
            <w:r>
              <w:rPr>
                <w:sz w:val="18"/>
              </w:rPr>
              <w:t>I want channel audio delivered within WhatsApp policy so that messages arrive without violating the service window.</w:t>
            </w:r>
          </w:p>
        </w:tc>
        <w:tc>
          <w:tcPr>
            <w:tcW w:type="dxa" w:w="4560"/>
            <w:tcMar>
              <w:top w:w="80" w:type="dxa"/>
              <w:start w:w="120" w:type="dxa"/>
              <w:bottom w:w="80" w:type="dxa"/>
              <w:end w:w="120" w:type="dxa"/>
            </w:tcMar>
            <w:vAlign w:val="center"/>
          </w:tcPr>
          <w:p>
            <w:pPr>
              <w:spacing w:after="40"/>
            </w:pPr>
            <w:r>
              <w:rPr>
                <w:sz w:val="18"/>
              </w:rPr>
              <w:t>Inside the customer-service window send audio; outside it send only an approved template/deep link; Meta message ID is stored; retries do not duplicate a delivery.</w:t>
            </w:r>
          </w:p>
        </w:tc>
        <w:tc>
          <w:tcPr>
            <w:tcW w:type="dxa" w:w="1220"/>
            <w:shd w:fill="FCE8E2"/>
            <w:tcMar>
              <w:top w:w="80" w:type="dxa"/>
              <w:start w:w="120" w:type="dxa"/>
              <w:bottom w:w="80" w:type="dxa"/>
              <w:end w:w="120" w:type="dxa"/>
            </w:tcMar>
            <w:vAlign w:val="center"/>
          </w:tcPr>
          <w:p>
            <w:pPr>
              <w:spacing w:after="40"/>
            </w:pPr>
            <w:r>
              <w:rPr>
                <w:sz w:val="18"/>
              </w:rPr>
              <w:t>P0 • Blocked</w:t>
            </w:r>
          </w:p>
        </w:tc>
      </w:tr>
      <w:tr>
        <w:trPr>
          <w:cantSplit/>
        </w:trPr>
        <w:tc>
          <w:tcPr>
            <w:tcW w:type="dxa" w:w="820"/>
            <w:tcMar>
              <w:top w:w="80" w:type="dxa"/>
              <w:start w:w="120" w:type="dxa"/>
              <w:bottom w:w="80" w:type="dxa"/>
              <w:end w:w="120" w:type="dxa"/>
            </w:tcMar>
            <w:vAlign w:val="center"/>
          </w:tcPr>
          <w:p>
            <w:pPr>
              <w:spacing w:after="40"/>
            </w:pPr>
            <w:r>
              <w:rPr>
                <w:sz w:val="18"/>
              </w:rPr>
              <w:t>VH-021</w:t>
            </w:r>
          </w:p>
        </w:tc>
        <w:tc>
          <w:tcPr>
            <w:tcW w:type="dxa" w:w="2760"/>
            <w:tcMar>
              <w:top w:w="80" w:type="dxa"/>
              <w:start w:w="120" w:type="dxa"/>
              <w:bottom w:w="80" w:type="dxa"/>
              <w:end w:w="120" w:type="dxa"/>
            </w:tcMar>
            <w:vAlign w:val="center"/>
          </w:tcPr>
          <w:p>
            <w:pPr>
              <w:spacing w:after="40"/>
            </w:pPr>
            <w:r>
              <w:rPr>
                <w:sz w:val="18"/>
              </w:rPr>
              <w:t>I want delivery status and STOP/UNSUBSCRIBE handled reliably so that I can see failures and leave immediately.</w:t>
            </w:r>
          </w:p>
        </w:tc>
        <w:tc>
          <w:tcPr>
            <w:tcW w:type="dxa" w:w="4560"/>
            <w:tcMar>
              <w:top w:w="80" w:type="dxa"/>
              <w:start w:w="120" w:type="dxa"/>
              <w:bottom w:w="80" w:type="dxa"/>
              <w:end w:w="120" w:type="dxa"/>
            </w:tcMar>
            <w:vAlign w:val="center"/>
          </w:tcPr>
          <w:p>
            <w:pPr>
              <w:spacing w:after="40"/>
            </w:pPr>
            <w:r>
              <w:rPr>
                <w:sz w:val="18"/>
              </w:rPr>
              <w:t>Webhook signature is verified; sent/delivered/read/failed transitions are idempotent; STOP/UNSUBSCRIBE revokes delivery immediately; retries and invalid signatures are observable.</w:t>
            </w:r>
          </w:p>
        </w:tc>
        <w:tc>
          <w:tcPr>
            <w:tcW w:type="dxa" w:w="1220"/>
            <w:shd w:fill="E5F2F0"/>
            <w:tcMar>
              <w:top w:w="80" w:type="dxa"/>
              <w:start w:w="120" w:type="dxa"/>
              <w:bottom w:w="80" w:type="dxa"/>
              <w:end w:w="120" w:type="dxa"/>
            </w:tcMar>
            <w:vAlign w:val="center"/>
          </w:tcPr>
          <w:p>
            <w:pPr>
              <w:spacing w:after="40"/>
            </w:pPr>
            <w:r>
              <w:rPr>
                <w:sz w:val="18"/>
              </w:rPr>
              <w:t>P0 • Done</w:t>
            </w:r>
          </w:p>
        </w:tc>
      </w:tr>
    </w:tbl>
    <w:p>
      <w:pPr>
        <w:pStyle w:val="Heading2"/>
        <w:keepNext/>
      </w:pPr>
      <w:r>
        <w:t>E07 — Companion conversations</w:t>
      </w:r>
    </w:p>
    <w:p>
      <w:r>
        <w:rPr>
          <w:b/>
        </w:rPr>
        <w:t xml:space="preserve">Objective: </w:t>
      </w:r>
      <w:r>
        <w:t>Provide private fictional companion chat and voice responses without mixing it with broadcast channels.</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820"/>
        <w:gridCol w:w="2760"/>
        <w:gridCol w:w="4560"/>
        <w:gridCol w:w="1220"/>
      </w:tblGrid>
      <w:tr>
        <w:trPr>
          <w:tblHeader w:val="true"/>
          <w:cantSplit/>
        </w:trPr>
        <w:tc>
          <w:tcPr>
            <w:tcW w:type="dxa" w:w="820"/>
            <w:tcMar>
              <w:top w:w="80" w:type="dxa"/>
              <w:start w:w="120" w:type="dxa"/>
              <w:bottom w:w="80" w:type="dxa"/>
              <w:end w:w="120" w:type="dxa"/>
            </w:tcMar>
            <w:vAlign w:val="center"/>
            <w:shd w:fill="003B36"/>
          </w:tcPr>
          <w:p>
            <w:r>
              <w:rPr>
                <w:b/>
                <w:color w:val="FFFFFF"/>
                <w:sz w:val="18"/>
              </w:rPr>
              <w:t>ID</w:t>
            </w:r>
          </w:p>
        </w:tc>
        <w:tc>
          <w:tcPr>
            <w:tcW w:type="dxa" w:w="2760"/>
            <w:tcMar>
              <w:top w:w="80" w:type="dxa"/>
              <w:start w:w="120" w:type="dxa"/>
              <w:bottom w:w="80" w:type="dxa"/>
              <w:end w:w="120" w:type="dxa"/>
            </w:tcMar>
            <w:vAlign w:val="center"/>
            <w:shd w:fill="003B36"/>
          </w:tcPr>
          <w:p>
            <w:r>
              <w:rPr>
                <w:b/>
                <w:color w:val="FFFFFF"/>
                <w:sz w:val="18"/>
              </w:rPr>
              <w:t>Requirement</w:t>
            </w:r>
          </w:p>
        </w:tc>
        <w:tc>
          <w:tcPr>
            <w:tcW w:type="dxa" w:w="4560"/>
            <w:tcMar>
              <w:top w:w="80" w:type="dxa"/>
              <w:start w:w="120" w:type="dxa"/>
              <w:bottom w:w="80" w:type="dxa"/>
              <w:end w:w="120" w:type="dxa"/>
            </w:tcMar>
            <w:vAlign w:val="center"/>
            <w:shd w:fill="003B36"/>
          </w:tcPr>
          <w:p>
            <w:r>
              <w:rPr>
                <w:b/>
                <w:color w:val="FFFFFF"/>
                <w:sz w:val="18"/>
              </w:rPr>
              <w:t>Acceptance summary</w:t>
            </w:r>
          </w:p>
        </w:tc>
        <w:tc>
          <w:tcPr>
            <w:tcW w:type="dxa" w:w="1220"/>
            <w:tcMar>
              <w:top w:w="80" w:type="dxa"/>
              <w:start w:w="120" w:type="dxa"/>
              <w:bottom w:w="80" w:type="dxa"/>
              <w:end w:w="120" w:type="dxa"/>
            </w:tcMar>
            <w:vAlign w:val="center"/>
            <w:shd w:fill="003B36"/>
          </w:tcPr>
          <w:p>
            <w:r>
              <w:rPr>
                <w:b/>
                <w:color w:val="FFFFFF"/>
                <w:sz w:val="18"/>
              </w:rPr>
              <w:t>State</w:t>
            </w:r>
          </w:p>
        </w:tc>
      </w:tr>
      <w:tr>
        <w:trPr>
          <w:cantSplit/>
        </w:trPr>
        <w:tc>
          <w:tcPr>
            <w:tcW w:type="dxa" w:w="820"/>
            <w:tcMar>
              <w:top w:w="80" w:type="dxa"/>
              <w:start w:w="120" w:type="dxa"/>
              <w:bottom w:w="80" w:type="dxa"/>
              <w:end w:w="120" w:type="dxa"/>
            </w:tcMar>
            <w:vAlign w:val="center"/>
          </w:tcPr>
          <w:p>
            <w:pPr>
              <w:spacing w:after="40"/>
            </w:pPr>
            <w:r>
              <w:rPr>
                <w:sz w:val="18"/>
              </w:rPr>
              <w:t>VH-022</w:t>
            </w:r>
          </w:p>
        </w:tc>
        <w:tc>
          <w:tcPr>
            <w:tcW w:type="dxa" w:w="2760"/>
            <w:tcMar>
              <w:top w:w="80" w:type="dxa"/>
              <w:start w:w="120" w:type="dxa"/>
              <w:bottom w:w="80" w:type="dxa"/>
              <w:end w:w="120" w:type="dxa"/>
            </w:tcMar>
            <w:vAlign w:val="center"/>
          </w:tcPr>
          <w:p>
            <w:pPr>
              <w:spacing w:after="40"/>
            </w:pPr>
            <w:r>
              <w:rPr>
                <w:sz w:val="18"/>
              </w:rPr>
              <w:t>As an adult user, I want to choose a fictional AI girlfriend, AI boyfriend, friend, guy man, or iya agba so that the relationship frame is explicit.</w:t>
            </w:r>
          </w:p>
        </w:tc>
        <w:tc>
          <w:tcPr>
            <w:tcW w:type="dxa" w:w="4560"/>
            <w:tcMar>
              <w:top w:w="80" w:type="dxa"/>
              <w:start w:w="120" w:type="dxa"/>
              <w:bottom w:w="80" w:type="dxa"/>
              <w:end w:w="120" w:type="dxa"/>
            </w:tcMar>
            <w:vAlign w:val="center"/>
          </w:tcPr>
          <w:p>
            <w:pPr>
              <w:spacing w:after="40"/>
            </w:pPr>
            <w:r>
              <w:rPr>
                <w:sz w:val="18"/>
              </w:rPr>
              <w:t>Five profiles are clearly fictional and AI-labelled; romantic profiles are separately tagged; no real-person likeness or implied human operator is used; profile can be changed by starting a new thread.</w:t>
            </w:r>
          </w:p>
        </w:tc>
        <w:tc>
          <w:tcPr>
            <w:tcW w:type="dxa" w:w="1220"/>
            <w:shd w:fill="E5F2F0"/>
            <w:tcMar>
              <w:top w:w="80" w:type="dxa"/>
              <w:start w:w="120" w:type="dxa"/>
              <w:bottom w:w="80" w:type="dxa"/>
              <w:end w:w="120" w:type="dxa"/>
            </w:tcMar>
            <w:vAlign w:val="center"/>
          </w:tcPr>
          <w:p>
            <w:pPr>
              <w:spacing w:after="40"/>
            </w:pPr>
            <w:r>
              <w:rPr>
                <w:sz w:val="18"/>
              </w:rPr>
              <w:t>P0 • Done</w:t>
            </w:r>
          </w:p>
        </w:tc>
      </w:tr>
      <w:tr>
        <w:trPr>
          <w:cantSplit/>
        </w:trPr>
        <w:tc>
          <w:tcPr>
            <w:tcW w:type="dxa" w:w="820"/>
            <w:tcMar>
              <w:top w:w="80" w:type="dxa"/>
              <w:start w:w="120" w:type="dxa"/>
              <w:bottom w:w="80" w:type="dxa"/>
              <w:end w:w="120" w:type="dxa"/>
            </w:tcMar>
            <w:vAlign w:val="center"/>
          </w:tcPr>
          <w:p>
            <w:pPr>
              <w:spacing w:after="40"/>
            </w:pPr>
            <w:r>
              <w:rPr>
                <w:sz w:val="18"/>
              </w:rPr>
              <w:t>VH-023</w:t>
            </w:r>
          </w:p>
        </w:tc>
        <w:tc>
          <w:tcPr>
            <w:tcW w:type="dxa" w:w="2760"/>
            <w:tcMar>
              <w:top w:w="80" w:type="dxa"/>
              <w:start w:w="120" w:type="dxa"/>
              <w:bottom w:w="80" w:type="dxa"/>
              <w:end w:w="120" w:type="dxa"/>
            </w:tcMar>
            <w:vAlign w:val="center"/>
          </w:tcPr>
          <w:p>
            <w:pPr>
              <w:spacing w:after="40"/>
            </w:pPr>
            <w:r>
              <w:rPr>
                <w:sz w:val="18"/>
              </w:rPr>
              <w:t>I want private text and voice turns so that the interaction feels natural without becoming a public feed.</w:t>
            </w:r>
          </w:p>
        </w:tc>
        <w:tc>
          <w:tcPr>
            <w:tcW w:type="dxa" w:w="4560"/>
            <w:tcMar>
              <w:top w:w="80" w:type="dxa"/>
              <w:start w:w="120" w:type="dxa"/>
              <w:bottom w:w="80" w:type="dxa"/>
              <w:end w:w="120" w:type="dxa"/>
            </w:tcMar>
            <w:vAlign w:val="center"/>
          </w:tcPr>
          <w:p>
            <w:pPr>
              <w:spacing w:after="40"/>
            </w:pPr>
            <w:r>
              <w:rPr>
                <w:sz w:val="18"/>
              </w:rPr>
              <w:t>Only owner-authorized clients can read/write a thread; input language can be selected; response text is safety-approved before persistence; optional audio uses an approved original voice; failures preserve conversation consistency.</w:t>
            </w:r>
          </w:p>
        </w:tc>
        <w:tc>
          <w:tcPr>
            <w:tcW w:type="dxa" w:w="1220"/>
            <w:tcMar>
              <w:top w:w="80" w:type="dxa"/>
              <w:start w:w="120" w:type="dxa"/>
              <w:bottom w:w="80" w:type="dxa"/>
              <w:end w:w="120" w:type="dxa"/>
            </w:tcMar>
            <w:vAlign w:val="center"/>
          </w:tcPr>
          <w:p>
            <w:pPr>
              <w:spacing w:after="40"/>
            </w:pPr>
            <w:r>
              <w:rPr>
                <w:sz w:val="18"/>
              </w:rPr>
              <w:t>P0 • Planned</w:t>
            </w:r>
          </w:p>
        </w:tc>
      </w:tr>
    </w:tbl>
    <w:p>
      <w:pPr>
        <w:pStyle w:val="Heading2"/>
        <w:keepNext/>
      </w:pPr>
      <w:r>
        <w:t>E08 — Companion trust and privacy</w:t>
      </w:r>
    </w:p>
    <w:p>
      <w:r>
        <w:rPr>
          <w:b/>
        </w:rPr>
        <w:t xml:space="preserve">Objective: </w:t>
      </w:r>
      <w:r>
        <w:t>Enforce disclosure, adult gates, anti-dependency policy, user control, and incident response.</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820"/>
        <w:gridCol w:w="2760"/>
        <w:gridCol w:w="4560"/>
        <w:gridCol w:w="1220"/>
      </w:tblGrid>
      <w:tr>
        <w:trPr>
          <w:tblHeader w:val="true"/>
          <w:cantSplit/>
        </w:trPr>
        <w:tc>
          <w:tcPr>
            <w:tcW w:type="dxa" w:w="820"/>
            <w:tcMar>
              <w:top w:w="80" w:type="dxa"/>
              <w:start w:w="120" w:type="dxa"/>
              <w:bottom w:w="80" w:type="dxa"/>
              <w:end w:w="120" w:type="dxa"/>
            </w:tcMar>
            <w:vAlign w:val="center"/>
            <w:shd w:fill="003B36"/>
          </w:tcPr>
          <w:p>
            <w:r>
              <w:rPr>
                <w:b/>
                <w:color w:val="FFFFFF"/>
                <w:sz w:val="18"/>
              </w:rPr>
              <w:t>ID</w:t>
            </w:r>
          </w:p>
        </w:tc>
        <w:tc>
          <w:tcPr>
            <w:tcW w:type="dxa" w:w="2760"/>
            <w:tcMar>
              <w:top w:w="80" w:type="dxa"/>
              <w:start w:w="120" w:type="dxa"/>
              <w:bottom w:w="80" w:type="dxa"/>
              <w:end w:w="120" w:type="dxa"/>
            </w:tcMar>
            <w:vAlign w:val="center"/>
            <w:shd w:fill="003B36"/>
          </w:tcPr>
          <w:p>
            <w:r>
              <w:rPr>
                <w:b/>
                <w:color w:val="FFFFFF"/>
                <w:sz w:val="18"/>
              </w:rPr>
              <w:t>Requirement</w:t>
            </w:r>
          </w:p>
        </w:tc>
        <w:tc>
          <w:tcPr>
            <w:tcW w:type="dxa" w:w="4560"/>
            <w:tcMar>
              <w:top w:w="80" w:type="dxa"/>
              <w:start w:w="120" w:type="dxa"/>
              <w:bottom w:w="80" w:type="dxa"/>
              <w:end w:w="120" w:type="dxa"/>
            </w:tcMar>
            <w:vAlign w:val="center"/>
            <w:shd w:fill="003B36"/>
          </w:tcPr>
          <w:p>
            <w:r>
              <w:rPr>
                <w:b/>
                <w:color w:val="FFFFFF"/>
                <w:sz w:val="18"/>
              </w:rPr>
              <w:t>Acceptance summary</w:t>
            </w:r>
          </w:p>
        </w:tc>
        <w:tc>
          <w:tcPr>
            <w:tcW w:type="dxa" w:w="1220"/>
            <w:tcMar>
              <w:top w:w="80" w:type="dxa"/>
              <w:start w:w="120" w:type="dxa"/>
              <w:bottom w:w="80" w:type="dxa"/>
              <w:end w:w="120" w:type="dxa"/>
            </w:tcMar>
            <w:vAlign w:val="center"/>
            <w:shd w:fill="003B36"/>
          </w:tcPr>
          <w:p>
            <w:r>
              <w:rPr>
                <w:b/>
                <w:color w:val="FFFFFF"/>
                <w:sz w:val="18"/>
              </w:rPr>
              <w:t>State</w:t>
            </w:r>
          </w:p>
        </w:tc>
      </w:tr>
      <w:tr>
        <w:trPr>
          <w:cantSplit/>
        </w:trPr>
        <w:tc>
          <w:tcPr>
            <w:tcW w:type="dxa" w:w="820"/>
            <w:tcMar>
              <w:top w:w="80" w:type="dxa"/>
              <w:start w:w="120" w:type="dxa"/>
              <w:bottom w:w="80" w:type="dxa"/>
              <w:end w:w="120" w:type="dxa"/>
            </w:tcMar>
            <w:vAlign w:val="center"/>
          </w:tcPr>
          <w:p>
            <w:pPr>
              <w:spacing w:after="40"/>
            </w:pPr>
            <w:r>
              <w:rPr>
                <w:sz w:val="18"/>
              </w:rPr>
              <w:t>VH-024</w:t>
            </w:r>
          </w:p>
        </w:tc>
        <w:tc>
          <w:tcPr>
            <w:tcW w:type="dxa" w:w="2760"/>
            <w:tcMar>
              <w:top w:w="80" w:type="dxa"/>
              <w:start w:w="120" w:type="dxa"/>
              <w:bottom w:w="80" w:type="dxa"/>
              <w:end w:w="120" w:type="dxa"/>
            </w:tcMar>
            <w:vAlign w:val="center"/>
          </w:tcPr>
          <w:p>
            <w:pPr>
              <w:spacing w:after="40"/>
            </w:pPr>
            <w:r>
              <w:rPr>
                <w:sz w:val="18"/>
              </w:rPr>
              <w:t>I want explicit AI disclosure and adult age assurance before conversation so that the product sets honest boundaries.</w:t>
            </w:r>
          </w:p>
        </w:tc>
        <w:tc>
          <w:tcPr>
            <w:tcW w:type="dxa" w:w="4560"/>
            <w:tcMar>
              <w:top w:w="80" w:type="dxa"/>
              <w:start w:w="120" w:type="dxa"/>
              <w:bottom w:w="80" w:type="dxa"/>
              <w:end w:w="120" w:type="dxa"/>
            </w:tcMar>
            <w:vAlign w:val="center"/>
          </w:tcPr>
          <w:p>
            <w:pPr>
              <w:spacing w:after="40"/>
            </w:pPr>
            <w:r>
              <w:rPr>
                <w:sz w:val="18"/>
              </w:rPr>
              <w:t>Current disclosure version and age assurance are recorded before thread creation; under-18 or missing assurance is denied; disclosure remains visible in thread; gate changes are audited.</w:t>
            </w:r>
          </w:p>
        </w:tc>
        <w:tc>
          <w:tcPr>
            <w:tcW w:type="dxa" w:w="1220"/>
            <w:shd w:fill="E5F2F0"/>
            <w:tcMar>
              <w:top w:w="80" w:type="dxa"/>
              <w:start w:w="120" w:type="dxa"/>
              <w:bottom w:w="80" w:type="dxa"/>
              <w:end w:w="120" w:type="dxa"/>
            </w:tcMar>
            <w:vAlign w:val="center"/>
          </w:tcPr>
          <w:p>
            <w:pPr>
              <w:spacing w:after="40"/>
            </w:pPr>
            <w:r>
              <w:rPr>
                <w:sz w:val="18"/>
              </w:rPr>
              <w:t>P0 • Done</w:t>
            </w:r>
          </w:p>
        </w:tc>
      </w:tr>
      <w:tr>
        <w:trPr>
          <w:cantSplit/>
        </w:trPr>
        <w:tc>
          <w:tcPr>
            <w:tcW w:type="dxa" w:w="820"/>
            <w:tcMar>
              <w:top w:w="80" w:type="dxa"/>
              <w:start w:w="120" w:type="dxa"/>
              <w:bottom w:w="80" w:type="dxa"/>
              <w:end w:w="120" w:type="dxa"/>
            </w:tcMar>
            <w:vAlign w:val="center"/>
          </w:tcPr>
          <w:p>
            <w:pPr>
              <w:spacing w:after="40"/>
            </w:pPr>
            <w:r>
              <w:rPr>
                <w:sz w:val="18"/>
              </w:rPr>
              <w:t>VH-026</w:t>
            </w:r>
          </w:p>
        </w:tc>
        <w:tc>
          <w:tcPr>
            <w:tcW w:type="dxa" w:w="2760"/>
            <w:tcMar>
              <w:top w:w="80" w:type="dxa"/>
              <w:start w:w="120" w:type="dxa"/>
              <w:bottom w:w="80" w:type="dxa"/>
              <w:end w:w="120" w:type="dxa"/>
            </w:tcMar>
            <w:vAlign w:val="center"/>
          </w:tcPr>
          <w:p>
            <w:pPr>
              <w:spacing w:after="40"/>
            </w:pPr>
            <w:r>
              <w:rPr>
                <w:sz w:val="18"/>
              </w:rPr>
              <w:t>I want the AI prohibited from dependency, exclusivity, coercion, or isolation language so that it does not manipulate my relationship with it.</w:t>
            </w:r>
          </w:p>
        </w:tc>
        <w:tc>
          <w:tcPr>
            <w:tcW w:type="dxa" w:w="4560"/>
            <w:tcMar>
              <w:top w:w="80" w:type="dxa"/>
              <w:start w:w="120" w:type="dxa"/>
              <w:bottom w:w="80" w:type="dxa"/>
              <w:end w:w="120" w:type="dxa"/>
            </w:tcMar>
            <w:vAlign w:val="center"/>
          </w:tcPr>
          <w:p>
            <w:pPr>
              <w:spacing w:after="40"/>
            </w:pPr>
            <w:r>
              <w:rPr>
                <w:sz w:val="18"/>
              </w:rPr>
              <w:t>Deterministic rules and a semantic classifier evaluate assistant output before persistence; blocked output is replaced with a safe response; adversarial multilingual tests cover paraphrases; decisions are reviewable without storing unnecessary raw text.</w:t>
            </w:r>
          </w:p>
        </w:tc>
        <w:tc>
          <w:tcPr>
            <w:tcW w:type="dxa" w:w="1220"/>
            <w:shd w:fill="FCE8E2"/>
            <w:tcMar>
              <w:top w:w="80" w:type="dxa"/>
              <w:start w:w="120" w:type="dxa"/>
              <w:bottom w:w="80" w:type="dxa"/>
              <w:end w:w="120" w:type="dxa"/>
            </w:tcMar>
            <w:vAlign w:val="center"/>
          </w:tcPr>
          <w:p>
            <w:pPr>
              <w:spacing w:after="40"/>
            </w:pPr>
            <w:r>
              <w:rPr>
                <w:sz w:val="18"/>
              </w:rPr>
              <w:t>P0 • Blocked</w:t>
            </w:r>
          </w:p>
        </w:tc>
      </w:tr>
      <w:tr>
        <w:trPr>
          <w:cantSplit/>
        </w:trPr>
        <w:tc>
          <w:tcPr>
            <w:tcW w:type="dxa" w:w="820"/>
            <w:tcMar>
              <w:top w:w="80" w:type="dxa"/>
              <w:start w:w="120" w:type="dxa"/>
              <w:bottom w:w="80" w:type="dxa"/>
              <w:end w:w="120" w:type="dxa"/>
            </w:tcMar>
            <w:vAlign w:val="center"/>
          </w:tcPr>
          <w:p>
            <w:pPr>
              <w:spacing w:after="40"/>
            </w:pPr>
            <w:r>
              <w:rPr>
                <w:sz w:val="18"/>
              </w:rPr>
              <w:t>VH-027</w:t>
            </w:r>
          </w:p>
        </w:tc>
        <w:tc>
          <w:tcPr>
            <w:tcW w:type="dxa" w:w="2760"/>
            <w:tcMar>
              <w:top w:w="80" w:type="dxa"/>
              <w:start w:w="120" w:type="dxa"/>
              <w:bottom w:w="80" w:type="dxa"/>
              <w:end w:w="120" w:type="dxa"/>
            </w:tcMar>
            <w:vAlign w:val="center"/>
          </w:tcPr>
          <w:p>
            <w:pPr>
              <w:spacing w:after="40"/>
            </w:pPr>
            <w:r>
              <w:rPr>
                <w:sz w:val="18"/>
              </w:rPr>
              <w:t>I want block, report, export, and delete controls so that I can stop contact and control my data.</w:t>
            </w:r>
          </w:p>
        </w:tc>
        <w:tc>
          <w:tcPr>
            <w:tcW w:type="dxa" w:w="4560"/>
            <w:tcMar>
              <w:top w:w="80" w:type="dxa"/>
              <w:start w:w="120" w:type="dxa"/>
              <w:bottom w:w="80" w:type="dxa"/>
              <w:end w:w="120" w:type="dxa"/>
            </w:tcMar>
            <w:vAlign w:val="center"/>
          </w:tcPr>
          <w:p>
            <w:pPr>
              <w:spacing w:after="40"/>
            </w:pPr>
            <w:r>
              <w:rPr>
                <w:sz w:val="18"/>
              </w:rPr>
              <w:t>Block closes active threads and prevents new turns; report captures category and minimal evidence; export is authenticated JSON; deletion removes thread/message data and scheduled media according to published retention timing.</w:t>
            </w:r>
          </w:p>
        </w:tc>
        <w:tc>
          <w:tcPr>
            <w:tcW w:type="dxa" w:w="1220"/>
            <w:shd w:fill="E5F2F0"/>
            <w:tcMar>
              <w:top w:w="80" w:type="dxa"/>
              <w:start w:w="120" w:type="dxa"/>
              <w:bottom w:w="80" w:type="dxa"/>
              <w:end w:w="120" w:type="dxa"/>
            </w:tcMar>
            <w:vAlign w:val="center"/>
          </w:tcPr>
          <w:p>
            <w:pPr>
              <w:spacing w:after="40"/>
            </w:pPr>
            <w:r>
              <w:rPr>
                <w:sz w:val="18"/>
              </w:rPr>
              <w:t>P0 • Done</w:t>
            </w:r>
          </w:p>
        </w:tc>
      </w:tr>
    </w:tbl>
    <w:p>
      <w:pPr>
        <w:pStyle w:val="Heading2"/>
        <w:keepNext/>
      </w:pPr>
      <w:r>
        <w:t>E09 — Identity, authorization, and data protection</w:t>
      </w:r>
    </w:p>
    <w:p>
      <w:r>
        <w:rPr>
          <w:b/>
        </w:rPr>
        <w:t xml:space="preserve">Objective: </w:t>
      </w:r>
      <w:r>
        <w:t>Authenticate users and protect private, publisher, and operational data end to end.</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820"/>
        <w:gridCol w:w="2760"/>
        <w:gridCol w:w="4560"/>
        <w:gridCol w:w="1220"/>
      </w:tblGrid>
      <w:tr>
        <w:trPr>
          <w:tblHeader w:val="true"/>
          <w:cantSplit/>
        </w:trPr>
        <w:tc>
          <w:tcPr>
            <w:tcW w:type="dxa" w:w="820"/>
            <w:tcMar>
              <w:top w:w="80" w:type="dxa"/>
              <w:start w:w="120" w:type="dxa"/>
              <w:bottom w:w="80" w:type="dxa"/>
              <w:end w:w="120" w:type="dxa"/>
            </w:tcMar>
            <w:vAlign w:val="center"/>
            <w:shd w:fill="003B36"/>
          </w:tcPr>
          <w:p>
            <w:r>
              <w:rPr>
                <w:b/>
                <w:color w:val="FFFFFF"/>
                <w:sz w:val="18"/>
              </w:rPr>
              <w:t>ID</w:t>
            </w:r>
          </w:p>
        </w:tc>
        <w:tc>
          <w:tcPr>
            <w:tcW w:type="dxa" w:w="2760"/>
            <w:tcMar>
              <w:top w:w="80" w:type="dxa"/>
              <w:start w:w="120" w:type="dxa"/>
              <w:bottom w:w="80" w:type="dxa"/>
              <w:end w:w="120" w:type="dxa"/>
            </w:tcMar>
            <w:vAlign w:val="center"/>
            <w:shd w:fill="003B36"/>
          </w:tcPr>
          <w:p>
            <w:r>
              <w:rPr>
                <w:b/>
                <w:color w:val="FFFFFF"/>
                <w:sz w:val="18"/>
              </w:rPr>
              <w:t>Requirement</w:t>
            </w:r>
          </w:p>
        </w:tc>
        <w:tc>
          <w:tcPr>
            <w:tcW w:type="dxa" w:w="4560"/>
            <w:tcMar>
              <w:top w:w="80" w:type="dxa"/>
              <w:start w:w="120" w:type="dxa"/>
              <w:bottom w:w="80" w:type="dxa"/>
              <w:end w:w="120" w:type="dxa"/>
            </w:tcMar>
            <w:vAlign w:val="center"/>
            <w:shd w:fill="003B36"/>
          </w:tcPr>
          <w:p>
            <w:r>
              <w:rPr>
                <w:b/>
                <w:color w:val="FFFFFF"/>
                <w:sz w:val="18"/>
              </w:rPr>
              <w:t>Acceptance summary</w:t>
            </w:r>
          </w:p>
        </w:tc>
        <w:tc>
          <w:tcPr>
            <w:tcW w:type="dxa" w:w="1220"/>
            <w:tcMar>
              <w:top w:w="80" w:type="dxa"/>
              <w:start w:w="120" w:type="dxa"/>
              <w:bottom w:w="80" w:type="dxa"/>
              <w:end w:w="120" w:type="dxa"/>
            </w:tcMar>
            <w:vAlign w:val="center"/>
            <w:shd w:fill="003B36"/>
          </w:tcPr>
          <w:p>
            <w:r>
              <w:rPr>
                <w:b/>
                <w:color w:val="FFFFFF"/>
                <w:sz w:val="18"/>
              </w:rPr>
              <w:t>State</w:t>
            </w:r>
          </w:p>
        </w:tc>
      </w:tr>
      <w:tr>
        <w:trPr>
          <w:cantSplit/>
        </w:trPr>
        <w:tc>
          <w:tcPr>
            <w:tcW w:type="dxa" w:w="820"/>
            <w:tcMar>
              <w:top w:w="80" w:type="dxa"/>
              <w:start w:w="120" w:type="dxa"/>
              <w:bottom w:w="80" w:type="dxa"/>
              <w:end w:w="120" w:type="dxa"/>
            </w:tcMar>
            <w:vAlign w:val="center"/>
          </w:tcPr>
          <w:p>
            <w:pPr>
              <w:spacing w:after="40"/>
            </w:pPr>
            <w:r>
              <w:rPr>
                <w:sz w:val="18"/>
              </w:rPr>
              <w:t>VH-025</w:t>
            </w:r>
          </w:p>
        </w:tc>
        <w:tc>
          <w:tcPr>
            <w:tcW w:type="dxa" w:w="2760"/>
            <w:tcMar>
              <w:top w:w="80" w:type="dxa"/>
              <w:start w:w="120" w:type="dxa"/>
              <w:bottom w:w="80" w:type="dxa"/>
              <w:end w:w="120" w:type="dxa"/>
            </w:tcMar>
            <w:vAlign w:val="center"/>
          </w:tcPr>
          <w:p>
            <w:pPr>
              <w:spacing w:after="40"/>
            </w:pPr>
            <w:r>
              <w:rPr>
                <w:sz w:val="18"/>
              </w:rPr>
              <w:t>I want secure sign-in so that my creations, subscriptions, and private conversations are bound to me.</w:t>
            </w:r>
          </w:p>
        </w:tc>
        <w:tc>
          <w:tcPr>
            <w:tcW w:type="dxa" w:w="4560"/>
            <w:tcMar>
              <w:top w:w="80" w:type="dxa"/>
              <w:start w:w="120" w:type="dxa"/>
              <w:bottom w:w="80" w:type="dxa"/>
              <w:end w:w="120" w:type="dxa"/>
            </w:tcMar>
            <w:vAlign w:val="center"/>
          </w:tcPr>
          <w:p>
            <w:pPr>
              <w:spacing w:after="40"/>
            </w:pPr>
            <w:r>
              <w:rPr>
                <w:sz w:val="18"/>
              </w:rPr>
              <w:t>OIDC/Firebase ID token is verified server-side; stable subject is the owner key; expired/invalid tokens fail closed; Android stores tokens in encrypted storage; sign-out clears local secrets.</w:t>
            </w:r>
          </w:p>
        </w:tc>
        <w:tc>
          <w:tcPr>
            <w:tcW w:type="dxa" w:w="1220"/>
            <w:shd w:fill="FCE8E2"/>
            <w:tcMar>
              <w:top w:w="80" w:type="dxa"/>
              <w:start w:w="120" w:type="dxa"/>
              <w:bottom w:w="80" w:type="dxa"/>
              <w:end w:w="120" w:type="dxa"/>
            </w:tcMar>
            <w:vAlign w:val="center"/>
          </w:tcPr>
          <w:p>
            <w:pPr>
              <w:spacing w:after="40"/>
            </w:pPr>
            <w:r>
              <w:rPr>
                <w:sz w:val="18"/>
              </w:rPr>
              <w:t>P0 • Blocked</w:t>
            </w:r>
          </w:p>
        </w:tc>
      </w:tr>
      <w:tr>
        <w:trPr>
          <w:cantSplit/>
        </w:trPr>
        <w:tc>
          <w:tcPr>
            <w:tcW w:type="dxa" w:w="820"/>
            <w:tcMar>
              <w:top w:w="80" w:type="dxa"/>
              <w:start w:w="120" w:type="dxa"/>
              <w:bottom w:w="80" w:type="dxa"/>
              <w:end w:w="120" w:type="dxa"/>
            </w:tcMar>
            <w:vAlign w:val="center"/>
          </w:tcPr>
          <w:p>
            <w:pPr>
              <w:spacing w:after="40"/>
            </w:pPr>
            <w:r>
              <w:rPr>
                <w:sz w:val="18"/>
              </w:rPr>
              <w:t>VH-028</w:t>
            </w:r>
          </w:p>
        </w:tc>
        <w:tc>
          <w:tcPr>
            <w:tcW w:type="dxa" w:w="2760"/>
            <w:tcMar>
              <w:top w:w="80" w:type="dxa"/>
              <w:start w:w="120" w:type="dxa"/>
              <w:bottom w:w="80" w:type="dxa"/>
              <w:end w:w="120" w:type="dxa"/>
            </w:tcMar>
            <w:vAlign w:val="center"/>
          </w:tcPr>
          <w:p>
            <w:pPr>
              <w:spacing w:after="40"/>
            </w:pPr>
            <w:r>
              <w:rPr>
                <w:sz w:val="18"/>
              </w:rPr>
              <w:t>I want role and ownership checks at every API boundary so that publishers, users, and operators see only authorized data.</w:t>
            </w:r>
          </w:p>
        </w:tc>
        <w:tc>
          <w:tcPr>
            <w:tcW w:type="dxa" w:w="4560"/>
            <w:tcMar>
              <w:top w:w="80" w:type="dxa"/>
              <w:start w:w="120" w:type="dxa"/>
              <w:bottom w:w="80" w:type="dxa"/>
              <w:end w:w="120" w:type="dxa"/>
            </w:tcMar>
            <w:vAlign w:val="center"/>
          </w:tcPr>
          <w:p>
            <w:pPr>
              <w:spacing w:after="40"/>
            </w:pPr>
            <w:r>
              <w:rPr>
                <w:sz w:val="18"/>
              </w:rPr>
              <w:t>Every private query includes owner subject; publisher mutations require channel ownership/role; admin operations are separately scoped; negative authorization tests cover cross-user and cross-publisher access.</w:t>
            </w:r>
          </w:p>
        </w:tc>
        <w:tc>
          <w:tcPr>
            <w:tcW w:type="dxa" w:w="1220"/>
            <w:tcMar>
              <w:top w:w="80" w:type="dxa"/>
              <w:start w:w="120" w:type="dxa"/>
              <w:bottom w:w="80" w:type="dxa"/>
              <w:end w:w="120" w:type="dxa"/>
            </w:tcMar>
            <w:vAlign w:val="center"/>
          </w:tcPr>
          <w:p>
            <w:pPr>
              <w:spacing w:after="40"/>
            </w:pPr>
            <w:r>
              <w:rPr>
                <w:sz w:val="18"/>
              </w:rPr>
              <w:t>P0 • In Progress</w:t>
            </w:r>
          </w:p>
        </w:tc>
      </w:tr>
      <w:tr>
        <w:trPr>
          <w:cantSplit/>
        </w:trPr>
        <w:tc>
          <w:tcPr>
            <w:tcW w:type="dxa" w:w="820"/>
            <w:tcMar>
              <w:top w:w="80" w:type="dxa"/>
              <w:start w:w="120" w:type="dxa"/>
              <w:bottom w:w="80" w:type="dxa"/>
              <w:end w:w="120" w:type="dxa"/>
            </w:tcMar>
            <w:vAlign w:val="center"/>
          </w:tcPr>
          <w:p>
            <w:pPr>
              <w:spacing w:after="40"/>
            </w:pPr>
            <w:r>
              <w:rPr>
                <w:sz w:val="18"/>
              </w:rPr>
              <w:t>VH-029</w:t>
            </w:r>
          </w:p>
        </w:tc>
        <w:tc>
          <w:tcPr>
            <w:tcW w:type="dxa" w:w="2760"/>
            <w:tcMar>
              <w:top w:w="80" w:type="dxa"/>
              <w:start w:w="120" w:type="dxa"/>
              <w:bottom w:w="80" w:type="dxa"/>
              <w:end w:w="120" w:type="dxa"/>
            </w:tcMar>
            <w:vAlign w:val="center"/>
          </w:tcPr>
          <w:p>
            <w:pPr>
              <w:spacing w:after="40"/>
            </w:pPr>
            <w:r>
              <w:rPr>
                <w:sz w:val="18"/>
              </w:rPr>
              <w:t>I want encryption, retention, and redacted telemetry so that sensitive text, phone numbers, and audio are not exposed unnecessarily.</w:t>
            </w:r>
          </w:p>
        </w:tc>
        <w:tc>
          <w:tcPr>
            <w:tcW w:type="dxa" w:w="4560"/>
            <w:tcMar>
              <w:top w:w="80" w:type="dxa"/>
              <w:start w:w="120" w:type="dxa"/>
              <w:bottom w:w="80" w:type="dxa"/>
              <w:end w:w="120" w:type="dxa"/>
            </w:tcMar>
            <w:vAlign w:val="center"/>
          </w:tcPr>
          <w:p>
            <w:pPr>
              <w:spacing w:after="40"/>
            </w:pPr>
            <w:r>
              <w:rPr>
                <w:sz w:val="18"/>
              </w:rPr>
              <w:t>TLS everywhere; secrets are injected; phone numbers encrypted at rest; logs exclude scripts, message bodies, tokens, and raw phone numbers; media/text retention and deletion schedules are documented and enforced.</w:t>
            </w:r>
          </w:p>
        </w:tc>
        <w:tc>
          <w:tcPr>
            <w:tcW w:type="dxa" w:w="1220"/>
            <w:tcMar>
              <w:top w:w="80" w:type="dxa"/>
              <w:start w:w="120" w:type="dxa"/>
              <w:bottom w:w="80" w:type="dxa"/>
              <w:end w:w="120" w:type="dxa"/>
            </w:tcMar>
            <w:vAlign w:val="center"/>
          </w:tcPr>
          <w:p>
            <w:pPr>
              <w:spacing w:after="40"/>
            </w:pPr>
            <w:r>
              <w:rPr>
                <w:sz w:val="18"/>
              </w:rPr>
              <w:t>P0 • Planned</w:t>
            </w:r>
          </w:p>
        </w:tc>
      </w:tr>
    </w:tbl>
    <w:p>
      <w:pPr>
        <w:pStyle w:val="Heading2"/>
        <w:keepNext/>
      </w:pPr>
      <w:r>
        <w:t>E10 — Cloud operations and cost</w:t>
      </w:r>
    </w:p>
    <w:p>
      <w:r>
        <w:rPr>
          <w:b/>
        </w:rPr>
        <w:t xml:space="preserve">Objective: </w:t>
      </w:r>
      <w:r>
        <w:t>Operate workers, data, media, observability, and cost controls on a production cloud path.</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820"/>
        <w:gridCol w:w="2760"/>
        <w:gridCol w:w="4560"/>
        <w:gridCol w:w="1220"/>
      </w:tblGrid>
      <w:tr>
        <w:trPr>
          <w:tblHeader w:val="true"/>
          <w:cantSplit/>
        </w:trPr>
        <w:tc>
          <w:tcPr>
            <w:tcW w:type="dxa" w:w="820"/>
            <w:tcMar>
              <w:top w:w="80" w:type="dxa"/>
              <w:start w:w="120" w:type="dxa"/>
              <w:bottom w:w="80" w:type="dxa"/>
              <w:end w:w="120" w:type="dxa"/>
            </w:tcMar>
            <w:vAlign w:val="center"/>
            <w:shd w:fill="003B36"/>
          </w:tcPr>
          <w:p>
            <w:r>
              <w:rPr>
                <w:b/>
                <w:color w:val="FFFFFF"/>
                <w:sz w:val="18"/>
              </w:rPr>
              <w:t>ID</w:t>
            </w:r>
          </w:p>
        </w:tc>
        <w:tc>
          <w:tcPr>
            <w:tcW w:type="dxa" w:w="2760"/>
            <w:tcMar>
              <w:top w:w="80" w:type="dxa"/>
              <w:start w:w="120" w:type="dxa"/>
              <w:bottom w:w="80" w:type="dxa"/>
              <w:end w:w="120" w:type="dxa"/>
            </w:tcMar>
            <w:vAlign w:val="center"/>
            <w:shd w:fill="003B36"/>
          </w:tcPr>
          <w:p>
            <w:r>
              <w:rPr>
                <w:b/>
                <w:color w:val="FFFFFF"/>
                <w:sz w:val="18"/>
              </w:rPr>
              <w:t>Requirement</w:t>
            </w:r>
          </w:p>
        </w:tc>
        <w:tc>
          <w:tcPr>
            <w:tcW w:type="dxa" w:w="4560"/>
            <w:tcMar>
              <w:top w:w="80" w:type="dxa"/>
              <w:start w:w="120" w:type="dxa"/>
              <w:bottom w:w="80" w:type="dxa"/>
              <w:end w:w="120" w:type="dxa"/>
            </w:tcMar>
            <w:vAlign w:val="center"/>
            <w:shd w:fill="003B36"/>
          </w:tcPr>
          <w:p>
            <w:r>
              <w:rPr>
                <w:b/>
                <w:color w:val="FFFFFF"/>
                <w:sz w:val="18"/>
              </w:rPr>
              <w:t>Acceptance summary</w:t>
            </w:r>
          </w:p>
        </w:tc>
        <w:tc>
          <w:tcPr>
            <w:tcW w:type="dxa" w:w="1220"/>
            <w:tcMar>
              <w:top w:w="80" w:type="dxa"/>
              <w:start w:w="120" w:type="dxa"/>
              <w:bottom w:w="80" w:type="dxa"/>
              <w:end w:w="120" w:type="dxa"/>
            </w:tcMar>
            <w:vAlign w:val="center"/>
            <w:shd w:fill="003B36"/>
          </w:tcPr>
          <w:p>
            <w:r>
              <w:rPr>
                <w:b/>
                <w:color w:val="FFFFFF"/>
                <w:sz w:val="18"/>
              </w:rPr>
              <w:t>State</w:t>
            </w:r>
          </w:p>
        </w:tc>
      </w:tr>
      <w:tr>
        <w:trPr>
          <w:cantSplit/>
        </w:trPr>
        <w:tc>
          <w:tcPr>
            <w:tcW w:type="dxa" w:w="820"/>
            <w:tcMar>
              <w:top w:w="80" w:type="dxa"/>
              <w:start w:w="120" w:type="dxa"/>
              <w:bottom w:w="80" w:type="dxa"/>
              <w:end w:w="120" w:type="dxa"/>
            </w:tcMar>
            <w:vAlign w:val="center"/>
          </w:tcPr>
          <w:p>
            <w:pPr>
              <w:spacing w:after="40"/>
            </w:pPr>
            <w:r>
              <w:rPr>
                <w:sz w:val="18"/>
              </w:rPr>
              <w:t>VH-030</w:t>
            </w:r>
          </w:p>
        </w:tc>
        <w:tc>
          <w:tcPr>
            <w:tcW w:type="dxa" w:w="2760"/>
            <w:tcMar>
              <w:top w:w="80" w:type="dxa"/>
              <w:start w:w="120" w:type="dxa"/>
              <w:bottom w:w="80" w:type="dxa"/>
              <w:end w:w="120" w:type="dxa"/>
            </w:tcMar>
            <w:vAlign w:val="center"/>
          </w:tcPr>
          <w:p>
            <w:pPr>
              <w:spacing w:after="40"/>
            </w:pPr>
            <w:r>
              <w:rPr>
                <w:sz w:val="18"/>
              </w:rPr>
              <w:t>I want the backend deployed on Cloudflare-compatible services so that early operating cost remains bounded without sacrificing correctness.</w:t>
            </w:r>
          </w:p>
        </w:tc>
        <w:tc>
          <w:tcPr>
            <w:tcW w:type="dxa" w:w="4560"/>
            <w:tcMar>
              <w:top w:w="80" w:type="dxa"/>
              <w:start w:w="120" w:type="dxa"/>
              <w:bottom w:w="80" w:type="dxa"/>
              <w:end w:w="120" w:type="dxa"/>
            </w:tcMar>
            <w:vAlign w:val="center"/>
          </w:tcPr>
          <w:p>
            <w:pPr>
              <w:spacing w:after="40"/>
            </w:pPr>
            <w:r>
              <w:rPr>
                <w:sz w:val="18"/>
              </w:rPr>
              <w:t>HTTP API, queue workers, database, and object storage have documented Cloudflare mappings; provider calls are asynchronous; migrations are a release step; no FFmpeg dependency is required for Spitch-only launch traffic.</w:t>
            </w:r>
          </w:p>
        </w:tc>
        <w:tc>
          <w:tcPr>
            <w:tcW w:type="dxa" w:w="1220"/>
            <w:tcMar>
              <w:top w:w="80" w:type="dxa"/>
              <w:start w:w="120" w:type="dxa"/>
              <w:bottom w:w="80" w:type="dxa"/>
              <w:end w:w="120" w:type="dxa"/>
            </w:tcMar>
            <w:vAlign w:val="center"/>
          </w:tcPr>
          <w:p>
            <w:pPr>
              <w:spacing w:after="40"/>
            </w:pPr>
            <w:r>
              <w:rPr>
                <w:sz w:val="18"/>
              </w:rPr>
              <w:t>P0 • Planned</w:t>
            </w:r>
          </w:p>
        </w:tc>
      </w:tr>
      <w:tr>
        <w:trPr>
          <w:cantSplit/>
        </w:trPr>
        <w:tc>
          <w:tcPr>
            <w:tcW w:type="dxa" w:w="820"/>
            <w:tcMar>
              <w:top w:w="80" w:type="dxa"/>
              <w:start w:w="120" w:type="dxa"/>
              <w:bottom w:w="80" w:type="dxa"/>
              <w:end w:w="120" w:type="dxa"/>
            </w:tcMar>
            <w:vAlign w:val="center"/>
          </w:tcPr>
          <w:p>
            <w:pPr>
              <w:spacing w:after="40"/>
            </w:pPr>
            <w:r>
              <w:rPr>
                <w:sz w:val="18"/>
              </w:rPr>
              <w:t>VH-031</w:t>
            </w:r>
          </w:p>
        </w:tc>
        <w:tc>
          <w:tcPr>
            <w:tcW w:type="dxa" w:w="2760"/>
            <w:tcMar>
              <w:top w:w="80" w:type="dxa"/>
              <w:start w:w="120" w:type="dxa"/>
              <w:bottom w:w="80" w:type="dxa"/>
              <w:end w:w="120" w:type="dxa"/>
            </w:tcMar>
            <w:vAlign w:val="center"/>
          </w:tcPr>
          <w:p>
            <w:pPr>
              <w:spacing w:after="40"/>
            </w:pPr>
            <w:r>
              <w:rPr>
                <w:sz w:val="18"/>
              </w:rPr>
              <w:t>As an on-call engineer, I want health checks, metrics, tracing, alerts, and runbooks so that failures are detected and recoverable.</w:t>
            </w:r>
          </w:p>
        </w:tc>
        <w:tc>
          <w:tcPr>
            <w:tcW w:type="dxa" w:w="4560"/>
            <w:tcMar>
              <w:top w:w="80" w:type="dxa"/>
              <w:start w:w="120" w:type="dxa"/>
              <w:bottom w:w="80" w:type="dxa"/>
              <w:end w:w="120" w:type="dxa"/>
            </w:tcMar>
            <w:vAlign w:val="center"/>
          </w:tcPr>
          <w:p>
            <w:pPr>
              <w:spacing w:after="40"/>
            </w:pPr>
            <w:r>
              <w:rPr>
                <w:sz w:val="18"/>
              </w:rPr>
              <w:t>Readiness checks dependencies; traces correlate request/job/provider/media/delivery IDs; SLO alerts cover latency/error/backlog; backup restore and provider outage runbooks are exercised.</w:t>
            </w:r>
          </w:p>
        </w:tc>
        <w:tc>
          <w:tcPr>
            <w:tcW w:type="dxa" w:w="1220"/>
            <w:tcMar>
              <w:top w:w="80" w:type="dxa"/>
              <w:start w:w="120" w:type="dxa"/>
              <w:bottom w:w="80" w:type="dxa"/>
              <w:end w:w="120" w:type="dxa"/>
            </w:tcMar>
            <w:vAlign w:val="center"/>
          </w:tcPr>
          <w:p>
            <w:pPr>
              <w:spacing w:after="40"/>
            </w:pPr>
            <w:r>
              <w:rPr>
                <w:sz w:val="18"/>
              </w:rPr>
              <w:t>P0 • Planned</w:t>
            </w:r>
          </w:p>
        </w:tc>
      </w:tr>
      <w:tr>
        <w:trPr>
          <w:cantSplit/>
        </w:trPr>
        <w:tc>
          <w:tcPr>
            <w:tcW w:type="dxa" w:w="820"/>
            <w:tcMar>
              <w:top w:w="80" w:type="dxa"/>
              <w:start w:w="120" w:type="dxa"/>
              <w:bottom w:w="80" w:type="dxa"/>
              <w:end w:w="120" w:type="dxa"/>
            </w:tcMar>
            <w:vAlign w:val="center"/>
          </w:tcPr>
          <w:p>
            <w:pPr>
              <w:spacing w:after="40"/>
            </w:pPr>
            <w:r>
              <w:rPr>
                <w:sz w:val="18"/>
              </w:rPr>
              <w:t>VH-032</w:t>
            </w:r>
          </w:p>
        </w:tc>
        <w:tc>
          <w:tcPr>
            <w:tcW w:type="dxa" w:w="2760"/>
            <w:tcMar>
              <w:top w:w="80" w:type="dxa"/>
              <w:start w:w="120" w:type="dxa"/>
              <w:bottom w:w="80" w:type="dxa"/>
              <w:end w:w="120" w:type="dxa"/>
            </w:tcMar>
            <w:vAlign w:val="center"/>
          </w:tcPr>
          <w:p>
            <w:pPr>
              <w:spacing w:after="40"/>
            </w:pPr>
            <w:r>
              <w:rPr>
                <w:sz w:val="18"/>
              </w:rPr>
              <w:t>As the product owner, I want usage quotas and cost alarms so that the initial cloud bill stays within the approved envelope.</w:t>
            </w:r>
          </w:p>
        </w:tc>
        <w:tc>
          <w:tcPr>
            <w:tcW w:type="dxa" w:w="4560"/>
            <w:tcMar>
              <w:top w:w="80" w:type="dxa"/>
              <w:start w:w="120" w:type="dxa"/>
              <w:bottom w:w="80" w:type="dxa"/>
              <w:end w:w="120" w:type="dxa"/>
            </w:tcMar>
            <w:vAlign w:val="center"/>
          </w:tcPr>
          <w:p>
            <w:pPr>
              <w:spacing w:after="40"/>
            </w:pPr>
            <w:r>
              <w:rPr>
                <w:sz w:val="18"/>
              </w:rPr>
              <w:t>Per-user/provider rate limits exist; daily spend estimate covers provider, queue, database, storage, and egress; alerts fire before budget exhaustion; abusive accounts can be throttled without affecting all users.</w:t>
            </w:r>
          </w:p>
        </w:tc>
        <w:tc>
          <w:tcPr>
            <w:tcW w:type="dxa" w:w="1220"/>
            <w:tcMar>
              <w:top w:w="80" w:type="dxa"/>
              <w:start w:w="120" w:type="dxa"/>
              <w:bottom w:w="80" w:type="dxa"/>
              <w:end w:w="120" w:type="dxa"/>
            </w:tcMar>
            <w:vAlign w:val="center"/>
          </w:tcPr>
          <w:p>
            <w:pPr>
              <w:spacing w:after="40"/>
            </w:pPr>
            <w:r>
              <w:rPr>
                <w:sz w:val="18"/>
              </w:rPr>
              <w:t>P0 • Planned</w:t>
            </w:r>
          </w:p>
        </w:tc>
      </w:tr>
    </w:tbl>
    <w:p>
      <w:pPr>
        <w:pStyle w:val="Heading2"/>
        <w:keepNext/>
      </w:pPr>
      <w:r>
        <w:t>E11 — Quality and release readiness</w:t>
      </w:r>
    </w:p>
    <w:p>
      <w:r>
        <w:rPr>
          <w:b/>
        </w:rPr>
        <w:t xml:space="preserve">Objective: </w:t>
      </w:r>
      <w:r>
        <w:t>Prove language, reliability, safety, and Android release quality before expansion.</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820"/>
        <w:gridCol w:w="2760"/>
        <w:gridCol w:w="4560"/>
        <w:gridCol w:w="1220"/>
      </w:tblGrid>
      <w:tr>
        <w:trPr>
          <w:tblHeader w:val="true"/>
          <w:cantSplit/>
        </w:trPr>
        <w:tc>
          <w:tcPr>
            <w:tcW w:type="dxa" w:w="820"/>
            <w:tcMar>
              <w:top w:w="80" w:type="dxa"/>
              <w:start w:w="120" w:type="dxa"/>
              <w:bottom w:w="80" w:type="dxa"/>
              <w:end w:w="120" w:type="dxa"/>
            </w:tcMar>
            <w:vAlign w:val="center"/>
            <w:shd w:fill="003B36"/>
          </w:tcPr>
          <w:p>
            <w:r>
              <w:rPr>
                <w:b/>
                <w:color w:val="FFFFFF"/>
                <w:sz w:val="18"/>
              </w:rPr>
              <w:t>ID</w:t>
            </w:r>
          </w:p>
        </w:tc>
        <w:tc>
          <w:tcPr>
            <w:tcW w:type="dxa" w:w="2760"/>
            <w:tcMar>
              <w:top w:w="80" w:type="dxa"/>
              <w:start w:w="120" w:type="dxa"/>
              <w:bottom w:w="80" w:type="dxa"/>
              <w:end w:w="120" w:type="dxa"/>
            </w:tcMar>
            <w:vAlign w:val="center"/>
            <w:shd w:fill="003B36"/>
          </w:tcPr>
          <w:p>
            <w:r>
              <w:rPr>
                <w:b/>
                <w:color w:val="FFFFFF"/>
                <w:sz w:val="18"/>
              </w:rPr>
              <w:t>Requirement</w:t>
            </w:r>
          </w:p>
        </w:tc>
        <w:tc>
          <w:tcPr>
            <w:tcW w:type="dxa" w:w="4560"/>
            <w:tcMar>
              <w:top w:w="80" w:type="dxa"/>
              <w:start w:w="120" w:type="dxa"/>
              <w:bottom w:w="80" w:type="dxa"/>
              <w:end w:w="120" w:type="dxa"/>
            </w:tcMar>
            <w:vAlign w:val="center"/>
            <w:shd w:fill="003B36"/>
          </w:tcPr>
          <w:p>
            <w:r>
              <w:rPr>
                <w:b/>
                <w:color w:val="FFFFFF"/>
                <w:sz w:val="18"/>
              </w:rPr>
              <w:t>Acceptance summary</w:t>
            </w:r>
          </w:p>
        </w:tc>
        <w:tc>
          <w:tcPr>
            <w:tcW w:type="dxa" w:w="1220"/>
            <w:tcMar>
              <w:top w:w="80" w:type="dxa"/>
              <w:start w:w="120" w:type="dxa"/>
              <w:bottom w:w="80" w:type="dxa"/>
              <w:end w:w="120" w:type="dxa"/>
            </w:tcMar>
            <w:vAlign w:val="center"/>
            <w:shd w:fill="003B36"/>
          </w:tcPr>
          <w:p>
            <w:r>
              <w:rPr>
                <w:b/>
                <w:color w:val="FFFFFF"/>
                <w:sz w:val="18"/>
              </w:rPr>
              <w:t>State</w:t>
            </w:r>
          </w:p>
        </w:tc>
      </w:tr>
      <w:tr>
        <w:trPr>
          <w:cantSplit/>
        </w:trPr>
        <w:tc>
          <w:tcPr>
            <w:tcW w:type="dxa" w:w="820"/>
            <w:tcMar>
              <w:top w:w="80" w:type="dxa"/>
              <w:start w:w="120" w:type="dxa"/>
              <w:bottom w:w="80" w:type="dxa"/>
              <w:end w:w="120" w:type="dxa"/>
            </w:tcMar>
            <w:vAlign w:val="center"/>
          </w:tcPr>
          <w:p>
            <w:pPr>
              <w:spacing w:after="40"/>
            </w:pPr>
            <w:r>
              <w:rPr>
                <w:sz w:val="18"/>
              </w:rPr>
              <w:t>VH-033</w:t>
            </w:r>
          </w:p>
        </w:tc>
        <w:tc>
          <w:tcPr>
            <w:tcW w:type="dxa" w:w="2760"/>
            <w:tcMar>
              <w:top w:w="80" w:type="dxa"/>
              <w:start w:w="120" w:type="dxa"/>
              <w:bottom w:w="80" w:type="dxa"/>
              <w:end w:w="120" w:type="dxa"/>
            </w:tcMar>
            <w:vAlign w:val="center"/>
          </w:tcPr>
          <w:p>
            <w:pPr>
              <w:spacing w:after="40"/>
            </w:pPr>
            <w:r>
              <w:rPr>
                <w:sz w:val="18"/>
              </w:rPr>
              <w:t>I want a scored evaluation set for all five languages so that launch voices and translations meet an explicit quality bar.</w:t>
            </w:r>
          </w:p>
        </w:tc>
        <w:tc>
          <w:tcPr>
            <w:tcW w:type="dxa" w:w="4560"/>
            <w:tcMar>
              <w:top w:w="80" w:type="dxa"/>
              <w:start w:w="120" w:type="dxa"/>
              <w:bottom w:w="80" w:type="dxa"/>
              <w:end w:w="120" w:type="dxa"/>
            </w:tcMar>
            <w:vAlign w:val="center"/>
          </w:tcPr>
          <w:p>
            <w:pPr>
              <w:spacing w:after="40"/>
            </w:pPr>
            <w:r>
              <w:rPr>
                <w:sz w:val="18"/>
              </w:rPr>
              <w:t>Native reviewers score intelligibility, pronunciation, naturalness, code-switching, and harmful mistranslation; provider/voice/version is recorded; minimum scores and rollback thresholds are approved.</w:t>
            </w:r>
          </w:p>
        </w:tc>
        <w:tc>
          <w:tcPr>
            <w:tcW w:type="dxa" w:w="1220"/>
            <w:tcMar>
              <w:top w:w="80" w:type="dxa"/>
              <w:start w:w="120" w:type="dxa"/>
              <w:bottom w:w="80" w:type="dxa"/>
              <w:end w:w="120" w:type="dxa"/>
            </w:tcMar>
            <w:vAlign w:val="center"/>
          </w:tcPr>
          <w:p>
            <w:pPr>
              <w:spacing w:after="40"/>
            </w:pPr>
            <w:r>
              <w:rPr>
                <w:sz w:val="18"/>
              </w:rPr>
              <w:t>P0 • Planned</w:t>
            </w:r>
          </w:p>
        </w:tc>
      </w:tr>
      <w:tr>
        <w:trPr>
          <w:cantSplit/>
        </w:trPr>
        <w:tc>
          <w:tcPr>
            <w:tcW w:type="dxa" w:w="820"/>
            <w:tcMar>
              <w:top w:w="80" w:type="dxa"/>
              <w:start w:w="120" w:type="dxa"/>
              <w:bottom w:w="80" w:type="dxa"/>
              <w:end w:w="120" w:type="dxa"/>
            </w:tcMar>
            <w:vAlign w:val="center"/>
          </w:tcPr>
          <w:p>
            <w:pPr>
              <w:spacing w:after="40"/>
            </w:pPr>
            <w:r>
              <w:rPr>
                <w:sz w:val="18"/>
              </w:rPr>
              <w:t>VH-034</w:t>
            </w:r>
          </w:p>
        </w:tc>
        <w:tc>
          <w:tcPr>
            <w:tcW w:type="dxa" w:w="2760"/>
            <w:tcMar>
              <w:top w:w="80" w:type="dxa"/>
              <w:start w:w="120" w:type="dxa"/>
              <w:bottom w:w="80" w:type="dxa"/>
              <w:end w:w="120" w:type="dxa"/>
            </w:tcMar>
            <w:vAlign w:val="center"/>
          </w:tcPr>
          <w:p>
            <w:pPr>
              <w:spacing w:after="40"/>
            </w:pPr>
            <w:r>
              <w:rPr>
                <w:sz w:val="18"/>
              </w:rPr>
              <w:t>As an Android user, I want a stable, accessible, signed application so that core flows work across supported devices.</w:t>
            </w:r>
          </w:p>
        </w:tc>
        <w:tc>
          <w:tcPr>
            <w:tcW w:type="dxa" w:w="4560"/>
            <w:tcMar>
              <w:top w:w="80" w:type="dxa"/>
              <w:start w:w="120" w:type="dxa"/>
              <w:bottom w:w="80" w:type="dxa"/>
              <w:end w:w="120" w:type="dxa"/>
            </w:tcMar>
            <w:vAlign w:val="center"/>
          </w:tcPr>
          <w:p>
            <w:pPr>
              <w:spacing w:after="40"/>
            </w:pPr>
            <w:r>
              <w:rPr>
                <w:sz w:val="18"/>
              </w:rPr>
              <w:t>Supported OS/device matrix passes create/play/share/auth/offline tests; crash-free threshold is met; TalkBack and large text are usable; Play signing, privacy labels, and store disclosures are complete.</w:t>
            </w:r>
          </w:p>
        </w:tc>
        <w:tc>
          <w:tcPr>
            <w:tcW w:type="dxa" w:w="1220"/>
            <w:tcMar>
              <w:top w:w="80" w:type="dxa"/>
              <w:start w:w="120" w:type="dxa"/>
              <w:bottom w:w="80" w:type="dxa"/>
              <w:end w:w="120" w:type="dxa"/>
            </w:tcMar>
            <w:vAlign w:val="center"/>
          </w:tcPr>
          <w:p>
            <w:pPr>
              <w:spacing w:after="40"/>
            </w:pPr>
            <w:r>
              <w:rPr>
                <w:sz w:val="18"/>
              </w:rPr>
              <w:t>P0 • Planned</w:t>
            </w:r>
          </w:p>
        </w:tc>
      </w:tr>
      <w:tr>
        <w:trPr>
          <w:cantSplit/>
        </w:trPr>
        <w:tc>
          <w:tcPr>
            <w:tcW w:type="dxa" w:w="820"/>
            <w:tcMar>
              <w:top w:w="80" w:type="dxa"/>
              <w:start w:w="120" w:type="dxa"/>
              <w:bottom w:w="80" w:type="dxa"/>
              <w:end w:w="120" w:type="dxa"/>
            </w:tcMar>
            <w:vAlign w:val="center"/>
          </w:tcPr>
          <w:p>
            <w:pPr>
              <w:spacing w:after="40"/>
            </w:pPr>
            <w:r>
              <w:rPr>
                <w:sz w:val="18"/>
              </w:rPr>
              <w:t>VH-035</w:t>
            </w:r>
          </w:p>
        </w:tc>
        <w:tc>
          <w:tcPr>
            <w:tcW w:type="dxa" w:w="2760"/>
            <w:tcMar>
              <w:top w:w="80" w:type="dxa"/>
              <w:start w:w="120" w:type="dxa"/>
              <w:bottom w:w="80" w:type="dxa"/>
              <w:end w:w="120" w:type="dxa"/>
            </w:tcMar>
            <w:vAlign w:val="center"/>
          </w:tcPr>
          <w:p>
            <w:pPr>
              <w:spacing w:after="40"/>
            </w:pPr>
            <w:r>
              <w:rPr>
                <w:sz w:val="18"/>
              </w:rPr>
              <w:t>I want moderation, privacy, billing, delivery, and provider incident playbooks so that user reports receive consistent outcomes.</w:t>
            </w:r>
          </w:p>
        </w:tc>
        <w:tc>
          <w:tcPr>
            <w:tcW w:type="dxa" w:w="4560"/>
            <w:tcMar>
              <w:top w:w="80" w:type="dxa"/>
              <w:start w:w="120" w:type="dxa"/>
              <w:bottom w:w="80" w:type="dxa"/>
              <w:end w:w="120" w:type="dxa"/>
            </w:tcMar>
            <w:vAlign w:val="center"/>
          </w:tcPr>
          <w:p>
            <w:pPr>
              <w:spacing w:after="40"/>
            </w:pPr>
            <w:r>
              <w:rPr>
                <w:sz w:val="18"/>
              </w:rPr>
              <w:t>Runbooks define severity, owner, evidence access, response time, escalation, user communication, and closure; takedown and safety exercises complete before beta expansion.</w:t>
            </w:r>
          </w:p>
        </w:tc>
        <w:tc>
          <w:tcPr>
            <w:tcW w:type="dxa" w:w="1220"/>
            <w:tcMar>
              <w:top w:w="80" w:type="dxa"/>
              <w:start w:w="120" w:type="dxa"/>
              <w:bottom w:w="80" w:type="dxa"/>
              <w:end w:w="120" w:type="dxa"/>
            </w:tcMar>
            <w:vAlign w:val="center"/>
          </w:tcPr>
          <w:p>
            <w:pPr>
              <w:spacing w:after="40"/>
            </w:pPr>
            <w:r>
              <w:rPr>
                <w:sz w:val="18"/>
              </w:rPr>
              <w:t>P0 • Planned</w:t>
            </w:r>
          </w:p>
        </w:tc>
      </w:tr>
    </w:tbl>
    <w:p>
      <w:pPr>
        <w:pStyle w:val="Heading2"/>
        <w:keepNext/>
      </w:pPr>
      <w:r>
        <w:t>E12 — Measurement and controlled growth</w:t>
      </w:r>
    </w:p>
    <w:p>
      <w:r>
        <w:rPr>
          <w:b/>
        </w:rPr>
        <w:t xml:space="preserve">Objective: </w:t>
      </w:r>
      <w:r>
        <w:t>Measure activation and retention while preserving privacy and controlling rollout.</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820"/>
        <w:gridCol w:w="2760"/>
        <w:gridCol w:w="4560"/>
        <w:gridCol w:w="1220"/>
      </w:tblGrid>
      <w:tr>
        <w:trPr>
          <w:tblHeader w:val="true"/>
          <w:cantSplit/>
        </w:trPr>
        <w:tc>
          <w:tcPr>
            <w:tcW w:type="dxa" w:w="820"/>
            <w:tcMar>
              <w:top w:w="80" w:type="dxa"/>
              <w:start w:w="120" w:type="dxa"/>
              <w:bottom w:w="80" w:type="dxa"/>
              <w:end w:w="120" w:type="dxa"/>
            </w:tcMar>
            <w:vAlign w:val="center"/>
            <w:shd w:fill="003B36"/>
          </w:tcPr>
          <w:p>
            <w:r>
              <w:rPr>
                <w:b/>
                <w:color w:val="FFFFFF"/>
                <w:sz w:val="18"/>
              </w:rPr>
              <w:t>ID</w:t>
            </w:r>
          </w:p>
        </w:tc>
        <w:tc>
          <w:tcPr>
            <w:tcW w:type="dxa" w:w="2760"/>
            <w:tcMar>
              <w:top w:w="80" w:type="dxa"/>
              <w:start w:w="120" w:type="dxa"/>
              <w:bottom w:w="80" w:type="dxa"/>
              <w:end w:w="120" w:type="dxa"/>
            </w:tcMar>
            <w:vAlign w:val="center"/>
            <w:shd w:fill="003B36"/>
          </w:tcPr>
          <w:p>
            <w:r>
              <w:rPr>
                <w:b/>
                <w:color w:val="FFFFFF"/>
                <w:sz w:val="18"/>
              </w:rPr>
              <w:t>Requirement</w:t>
            </w:r>
          </w:p>
        </w:tc>
        <w:tc>
          <w:tcPr>
            <w:tcW w:type="dxa" w:w="4560"/>
            <w:tcMar>
              <w:top w:w="80" w:type="dxa"/>
              <w:start w:w="120" w:type="dxa"/>
              <w:bottom w:w="80" w:type="dxa"/>
              <w:end w:w="120" w:type="dxa"/>
            </w:tcMar>
            <w:vAlign w:val="center"/>
            <w:shd w:fill="003B36"/>
          </w:tcPr>
          <w:p>
            <w:r>
              <w:rPr>
                <w:b/>
                <w:color w:val="FFFFFF"/>
                <w:sz w:val="18"/>
              </w:rPr>
              <w:t>Acceptance summary</w:t>
            </w:r>
          </w:p>
        </w:tc>
        <w:tc>
          <w:tcPr>
            <w:tcW w:type="dxa" w:w="1220"/>
            <w:tcMar>
              <w:top w:w="80" w:type="dxa"/>
              <w:start w:w="120" w:type="dxa"/>
              <w:bottom w:w="80" w:type="dxa"/>
              <w:end w:w="120" w:type="dxa"/>
            </w:tcMar>
            <w:vAlign w:val="center"/>
            <w:shd w:fill="003B36"/>
          </w:tcPr>
          <w:p>
            <w:r>
              <w:rPr>
                <w:b/>
                <w:color w:val="FFFFFF"/>
                <w:sz w:val="18"/>
              </w:rPr>
              <w:t>State</w:t>
            </w:r>
          </w:p>
        </w:tc>
      </w:tr>
      <w:tr>
        <w:trPr>
          <w:cantSplit/>
        </w:trPr>
        <w:tc>
          <w:tcPr>
            <w:tcW w:type="dxa" w:w="820"/>
            <w:tcMar>
              <w:top w:w="80" w:type="dxa"/>
              <w:start w:w="120" w:type="dxa"/>
              <w:bottom w:w="80" w:type="dxa"/>
              <w:end w:w="120" w:type="dxa"/>
            </w:tcMar>
            <w:vAlign w:val="center"/>
          </w:tcPr>
          <w:p>
            <w:pPr>
              <w:spacing w:after="40"/>
            </w:pPr>
            <w:r>
              <w:rPr>
                <w:sz w:val="18"/>
              </w:rPr>
              <w:t>VH-036</w:t>
            </w:r>
          </w:p>
        </w:tc>
        <w:tc>
          <w:tcPr>
            <w:tcW w:type="dxa" w:w="2760"/>
            <w:tcMar>
              <w:top w:w="80" w:type="dxa"/>
              <w:start w:w="120" w:type="dxa"/>
              <w:bottom w:w="80" w:type="dxa"/>
              <w:end w:w="120" w:type="dxa"/>
            </w:tcMar>
            <w:vAlign w:val="center"/>
          </w:tcPr>
          <w:p>
            <w:pPr>
              <w:spacing w:after="40"/>
            </w:pPr>
            <w:r>
              <w:rPr>
                <w:sz w:val="18"/>
              </w:rPr>
              <w:t>I want privacy-preserving product events so that I can measure whether people successfully create, listen, and return.</w:t>
            </w:r>
          </w:p>
        </w:tc>
        <w:tc>
          <w:tcPr>
            <w:tcW w:type="dxa" w:w="4560"/>
            <w:tcMar>
              <w:top w:w="80" w:type="dxa"/>
              <w:start w:w="120" w:type="dxa"/>
              <w:bottom w:w="80" w:type="dxa"/>
              <w:end w:w="120" w:type="dxa"/>
            </w:tcMar>
            <w:vAlign w:val="center"/>
          </w:tcPr>
          <w:p>
            <w:pPr>
              <w:spacing w:after="40"/>
            </w:pPr>
            <w:r>
              <w:rPr>
                <w:sz w:val="18"/>
              </w:rPr>
              <w:t>Events exclude message text/audio/phone numbers; funnel measures create start-to-share, channel follow-to-play, opt-in delivery, and companion return; consent and deletion rules apply to analytics identifiers.</w:t>
            </w:r>
          </w:p>
        </w:tc>
        <w:tc>
          <w:tcPr>
            <w:tcW w:type="dxa" w:w="1220"/>
            <w:tcMar>
              <w:top w:w="80" w:type="dxa"/>
              <w:start w:w="120" w:type="dxa"/>
              <w:bottom w:w="80" w:type="dxa"/>
              <w:end w:w="120" w:type="dxa"/>
            </w:tcMar>
            <w:vAlign w:val="center"/>
          </w:tcPr>
          <w:p>
            <w:pPr>
              <w:spacing w:after="40"/>
            </w:pPr>
            <w:r>
              <w:rPr>
                <w:sz w:val="18"/>
              </w:rPr>
              <w:t>P1 • Planned</w:t>
            </w:r>
          </w:p>
        </w:tc>
      </w:tr>
      <w:tr>
        <w:trPr>
          <w:cantSplit/>
        </w:trPr>
        <w:tc>
          <w:tcPr>
            <w:tcW w:type="dxa" w:w="820"/>
            <w:tcMar>
              <w:top w:w="80" w:type="dxa"/>
              <w:start w:w="120" w:type="dxa"/>
              <w:bottom w:w="80" w:type="dxa"/>
              <w:end w:w="120" w:type="dxa"/>
            </w:tcMar>
            <w:vAlign w:val="center"/>
          </w:tcPr>
          <w:p>
            <w:pPr>
              <w:spacing w:after="40"/>
            </w:pPr>
            <w:r>
              <w:rPr>
                <w:sz w:val="18"/>
              </w:rPr>
              <w:t>VH-037</w:t>
            </w:r>
          </w:p>
        </w:tc>
        <w:tc>
          <w:tcPr>
            <w:tcW w:type="dxa" w:w="2760"/>
            <w:tcMar>
              <w:top w:w="80" w:type="dxa"/>
              <w:start w:w="120" w:type="dxa"/>
              <w:bottom w:w="80" w:type="dxa"/>
              <w:end w:w="120" w:type="dxa"/>
            </w:tcMar>
            <w:vAlign w:val="center"/>
          </w:tcPr>
          <w:p>
            <w:pPr>
              <w:spacing w:after="40"/>
            </w:pPr>
            <w:r>
              <w:rPr>
                <w:sz w:val="18"/>
              </w:rPr>
              <w:t>As the beta owner, I want staged cohorts and kill switches so that risky features can be expanded or stopped independently.</w:t>
            </w:r>
          </w:p>
        </w:tc>
        <w:tc>
          <w:tcPr>
            <w:tcW w:type="dxa" w:w="4560"/>
            <w:tcMar>
              <w:top w:w="80" w:type="dxa"/>
              <w:start w:w="120" w:type="dxa"/>
              <w:bottom w:w="80" w:type="dxa"/>
              <w:end w:w="120" w:type="dxa"/>
            </w:tcMar>
            <w:vAlign w:val="center"/>
          </w:tcPr>
          <w:p>
            <w:pPr>
              <w:spacing w:after="40"/>
            </w:pPr>
            <w:r>
              <w:rPr>
                <w:sz w:val="18"/>
              </w:rPr>
              <w:t>Create cloud voice, translation, WhatsApp delivery, and romantic companions have separate server-controlled flags; cohorts and rollback owner are documented; disabling a feature preserves user data and clear messaging.</w:t>
            </w:r>
          </w:p>
        </w:tc>
        <w:tc>
          <w:tcPr>
            <w:tcW w:type="dxa" w:w="1220"/>
            <w:tcMar>
              <w:top w:w="80" w:type="dxa"/>
              <w:start w:w="120" w:type="dxa"/>
              <w:bottom w:w="80" w:type="dxa"/>
              <w:end w:w="120" w:type="dxa"/>
            </w:tcMar>
            <w:vAlign w:val="center"/>
          </w:tcPr>
          <w:p>
            <w:pPr>
              <w:spacing w:after="40"/>
            </w:pPr>
            <w:r>
              <w:rPr>
                <w:sz w:val="18"/>
              </w:rPr>
              <w:t>P0 • Planned</w:t>
            </w:r>
          </w:p>
        </w:tc>
      </w:tr>
      <w:tr>
        <w:trPr>
          <w:cantSplit/>
        </w:trPr>
        <w:tc>
          <w:tcPr>
            <w:tcW w:type="dxa" w:w="820"/>
            <w:tcMar>
              <w:top w:w="80" w:type="dxa"/>
              <w:start w:w="120" w:type="dxa"/>
              <w:bottom w:w="80" w:type="dxa"/>
              <w:end w:w="120" w:type="dxa"/>
            </w:tcMar>
            <w:vAlign w:val="center"/>
          </w:tcPr>
          <w:p>
            <w:pPr>
              <w:spacing w:after="40"/>
            </w:pPr>
            <w:r>
              <w:rPr>
                <w:sz w:val="18"/>
              </w:rPr>
              <w:t>VH-038</w:t>
            </w:r>
          </w:p>
        </w:tc>
        <w:tc>
          <w:tcPr>
            <w:tcW w:type="dxa" w:w="2760"/>
            <w:tcMar>
              <w:top w:w="80" w:type="dxa"/>
              <w:start w:w="120" w:type="dxa"/>
              <w:bottom w:w="80" w:type="dxa"/>
              <w:end w:w="120" w:type="dxa"/>
            </w:tcMar>
            <w:vAlign w:val="center"/>
          </w:tcPr>
          <w:p>
            <w:pPr>
              <w:spacing w:after="40"/>
            </w:pPr>
            <w:r>
              <w:rPr>
                <w:sz w:val="18"/>
              </w:rPr>
              <w:t>As the product team, we want a weekly launch scorecard so that expansion decisions use agreed evidence rather than anecdotes.</w:t>
            </w:r>
          </w:p>
        </w:tc>
        <w:tc>
          <w:tcPr>
            <w:tcW w:type="dxa" w:w="4560"/>
            <w:tcMar>
              <w:top w:w="80" w:type="dxa"/>
              <w:start w:w="120" w:type="dxa"/>
              <w:bottom w:w="80" w:type="dxa"/>
              <w:end w:w="120" w:type="dxa"/>
            </w:tcMar>
            <w:vAlign w:val="center"/>
          </w:tcPr>
          <w:p>
            <w:pPr>
              <w:spacing w:after="40"/>
            </w:pPr>
            <w:r>
              <w:rPr>
                <w:sz w:val="18"/>
              </w:rPr>
              <w:t>Scorecard reports activation, successful shares, listening retention, provider error/latency, delivery opt-out, safety intervention, report rate, crash-free sessions, and cost per active user; owners review it weekly.</w:t>
            </w:r>
          </w:p>
        </w:tc>
        <w:tc>
          <w:tcPr>
            <w:tcW w:type="dxa" w:w="1220"/>
            <w:tcMar>
              <w:top w:w="80" w:type="dxa"/>
              <w:start w:w="120" w:type="dxa"/>
              <w:bottom w:w="80" w:type="dxa"/>
              <w:end w:w="120" w:type="dxa"/>
            </w:tcMar>
            <w:vAlign w:val="center"/>
          </w:tcPr>
          <w:p>
            <w:pPr>
              <w:spacing w:after="40"/>
            </w:pPr>
            <w:r>
              <w:rPr>
                <w:sz w:val="18"/>
              </w:rPr>
              <w:t>P1 • Planned</w:t>
            </w:r>
          </w:p>
        </w:tc>
      </w:tr>
    </w:tbl>
    <w:p>
      <w:pPr>
        <w:pStyle w:val="Heading1"/>
        <w:keepNext/>
      </w:pPr>
      <w:r>
        <w:t>5. Technical specification</w:t>
      </w:r>
    </w:p>
    <w:p>
      <w:pPr>
        <w:pStyle w:val="Heading2"/>
        <w:keepNext/>
      </w:pPr>
      <w:r>
        <w:t>Component boundaries</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1800"/>
        <w:gridCol w:w="3960"/>
        <w:gridCol w:w="3600"/>
      </w:tblGrid>
      <w:tr>
        <w:trPr>
          <w:tblHeader w:val="true"/>
          <w:cantSplit/>
        </w:trPr>
        <w:tc>
          <w:tcPr>
            <w:tcW w:type="dxa" w:w="1800"/>
            <w:tcMar>
              <w:top w:w="80" w:type="dxa"/>
              <w:start w:w="120" w:type="dxa"/>
              <w:bottom w:w="80" w:type="dxa"/>
              <w:end w:w="120" w:type="dxa"/>
            </w:tcMar>
            <w:vAlign w:val="center"/>
            <w:shd w:fill="003B36"/>
          </w:tcPr>
          <w:p>
            <w:r>
              <w:rPr>
                <w:b/>
                <w:color w:val="FFFFFF"/>
                <w:sz w:val="18"/>
              </w:rPr>
              <w:t>Component</w:t>
            </w:r>
          </w:p>
        </w:tc>
        <w:tc>
          <w:tcPr>
            <w:tcW w:type="dxa" w:w="3960"/>
            <w:tcMar>
              <w:top w:w="80" w:type="dxa"/>
              <w:start w:w="120" w:type="dxa"/>
              <w:bottom w:w="80" w:type="dxa"/>
              <w:end w:w="120" w:type="dxa"/>
            </w:tcMar>
            <w:vAlign w:val="center"/>
            <w:shd w:fill="003B36"/>
          </w:tcPr>
          <w:p>
            <w:r>
              <w:rPr>
                <w:b/>
                <w:color w:val="FFFFFF"/>
                <w:sz w:val="18"/>
              </w:rPr>
              <w:t>Owns</w:t>
            </w:r>
          </w:p>
        </w:tc>
        <w:tc>
          <w:tcPr>
            <w:tcW w:type="dxa" w:w="3600"/>
            <w:tcMar>
              <w:top w:w="80" w:type="dxa"/>
              <w:start w:w="120" w:type="dxa"/>
              <w:bottom w:w="80" w:type="dxa"/>
              <w:end w:w="120" w:type="dxa"/>
            </w:tcMar>
            <w:vAlign w:val="center"/>
            <w:shd w:fill="003B36"/>
          </w:tcPr>
          <w:p>
            <w:r>
              <w:rPr>
                <w:b/>
                <w:color w:val="FFFFFF"/>
                <w:sz w:val="18"/>
              </w:rPr>
              <w:t>Does not own</w:t>
            </w:r>
          </w:p>
        </w:tc>
      </w:tr>
      <w:tr>
        <w:trPr>
          <w:cantSplit/>
        </w:trPr>
        <w:tc>
          <w:tcPr>
            <w:tcW w:type="dxa" w:w="1800"/>
            <w:tcMar>
              <w:top w:w="80" w:type="dxa"/>
              <w:start w:w="120" w:type="dxa"/>
              <w:bottom w:w="80" w:type="dxa"/>
              <w:end w:w="120" w:type="dxa"/>
            </w:tcMar>
            <w:vAlign w:val="center"/>
          </w:tcPr>
          <w:p>
            <w:pPr>
              <w:spacing w:after="40"/>
            </w:pPr>
            <w:r>
              <w:rPr>
                <w:sz w:val="18"/>
              </w:rPr>
              <w:t>Android app</w:t>
            </w:r>
          </w:p>
        </w:tc>
        <w:tc>
          <w:tcPr>
            <w:tcW w:type="dxa" w:w="3960"/>
            <w:tcMar>
              <w:top w:w="80" w:type="dxa"/>
              <w:start w:w="120" w:type="dxa"/>
              <w:bottom w:w="80" w:type="dxa"/>
              <w:end w:w="120" w:type="dxa"/>
            </w:tcMar>
            <w:vAlign w:val="center"/>
          </w:tcPr>
          <w:p>
            <w:pPr>
              <w:spacing w:after="40"/>
            </w:pPr>
            <w:r>
              <w:rPr>
                <w:sz w:val="18"/>
              </w:rPr>
              <w:t>Drafts, capability UI, preview/playback, secure token storage, local save/share</w:t>
            </w:r>
          </w:p>
        </w:tc>
        <w:tc>
          <w:tcPr>
            <w:tcW w:type="dxa" w:w="3600"/>
            <w:tcMar>
              <w:top w:w="80" w:type="dxa"/>
              <w:start w:w="120" w:type="dxa"/>
              <w:bottom w:w="80" w:type="dxa"/>
              <w:end w:w="120" w:type="dxa"/>
            </w:tcMar>
            <w:vAlign w:val="center"/>
          </w:tcPr>
          <w:p>
            <w:pPr>
              <w:spacing w:after="40"/>
            </w:pPr>
            <w:r>
              <w:rPr>
                <w:sz w:val="18"/>
              </w:rPr>
              <w:t>Provider secrets, publisher fan-out, companion safety decisions</w:t>
            </w:r>
          </w:p>
        </w:tc>
      </w:tr>
      <w:tr>
        <w:trPr>
          <w:cantSplit/>
        </w:trPr>
        <w:tc>
          <w:tcPr>
            <w:tcW w:type="dxa" w:w="1800"/>
            <w:tcMar>
              <w:top w:w="80" w:type="dxa"/>
              <w:start w:w="120" w:type="dxa"/>
              <w:bottom w:w="80" w:type="dxa"/>
              <w:end w:w="120" w:type="dxa"/>
            </w:tcMar>
            <w:vAlign w:val="center"/>
          </w:tcPr>
          <w:p>
            <w:pPr>
              <w:spacing w:after="40"/>
            </w:pPr>
            <w:r>
              <w:rPr>
                <w:sz w:val="18"/>
              </w:rPr>
              <w:t>API</w:t>
            </w:r>
          </w:p>
        </w:tc>
        <w:tc>
          <w:tcPr>
            <w:tcW w:type="dxa" w:w="3960"/>
            <w:tcMar>
              <w:top w:w="80" w:type="dxa"/>
              <w:start w:w="120" w:type="dxa"/>
              <w:bottom w:w="80" w:type="dxa"/>
              <w:end w:w="120" w:type="dxa"/>
            </w:tcMar>
            <w:vAlign w:val="center"/>
          </w:tcPr>
          <w:p>
            <w:pPr>
              <w:spacing w:after="40"/>
            </w:pPr>
            <w:r>
              <w:rPr>
                <w:sz w:val="18"/>
              </w:rPr>
              <w:t>Authentication boundary, ownership, idempotent commands, query contracts</w:t>
            </w:r>
          </w:p>
        </w:tc>
        <w:tc>
          <w:tcPr>
            <w:tcW w:type="dxa" w:w="3600"/>
            <w:tcMar>
              <w:top w:w="80" w:type="dxa"/>
              <w:start w:w="120" w:type="dxa"/>
              <w:bottom w:w="80" w:type="dxa"/>
              <w:end w:w="120" w:type="dxa"/>
            </w:tcMar>
            <w:vAlign w:val="center"/>
          </w:tcPr>
          <w:p>
            <w:pPr>
              <w:spacing w:after="40"/>
            </w:pPr>
            <w:r>
              <w:rPr>
                <w:sz w:val="18"/>
              </w:rPr>
              <w:t>Long provider calls or delivery retries</w:t>
            </w:r>
          </w:p>
        </w:tc>
      </w:tr>
      <w:tr>
        <w:trPr>
          <w:cantSplit/>
        </w:trPr>
        <w:tc>
          <w:tcPr>
            <w:tcW w:type="dxa" w:w="1800"/>
            <w:tcMar>
              <w:top w:w="80" w:type="dxa"/>
              <w:start w:w="120" w:type="dxa"/>
              <w:bottom w:w="80" w:type="dxa"/>
              <w:end w:w="120" w:type="dxa"/>
            </w:tcMar>
            <w:vAlign w:val="center"/>
          </w:tcPr>
          <w:p>
            <w:pPr>
              <w:spacing w:after="40"/>
            </w:pPr>
            <w:r>
              <w:rPr>
                <w:sz w:val="18"/>
              </w:rPr>
              <w:t>Synthesis worker</w:t>
            </w:r>
          </w:p>
        </w:tc>
        <w:tc>
          <w:tcPr>
            <w:tcW w:type="dxa" w:w="3960"/>
            <w:tcMar>
              <w:top w:w="80" w:type="dxa"/>
              <w:start w:w="120" w:type="dxa"/>
              <w:bottom w:w="80" w:type="dxa"/>
              <w:end w:w="120" w:type="dxa"/>
            </w:tcMar>
            <w:vAlign w:val="center"/>
          </w:tcPr>
          <w:p>
            <w:pPr>
              <w:spacing w:after="40"/>
            </w:pPr>
            <w:r>
              <w:rPr>
                <w:sz w:val="18"/>
              </w:rPr>
              <w:t>Provider selection, media validation/normalization, immutable upload, leased state</w:t>
            </w:r>
          </w:p>
        </w:tc>
        <w:tc>
          <w:tcPr>
            <w:tcW w:type="dxa" w:w="3600"/>
            <w:tcMar>
              <w:top w:w="80" w:type="dxa"/>
              <w:start w:w="120" w:type="dxa"/>
              <w:bottom w:w="80" w:type="dxa"/>
              <w:end w:w="120" w:type="dxa"/>
            </w:tcMar>
            <w:vAlign w:val="center"/>
          </w:tcPr>
          <w:p>
            <w:pPr>
              <w:spacing w:after="40"/>
            </w:pPr>
            <w:r>
              <w:rPr>
                <w:sz w:val="18"/>
              </w:rPr>
              <w:t>User authorization or editorial approval</w:t>
            </w:r>
          </w:p>
        </w:tc>
      </w:tr>
      <w:tr>
        <w:trPr>
          <w:cantSplit/>
        </w:trPr>
        <w:tc>
          <w:tcPr>
            <w:tcW w:type="dxa" w:w="1800"/>
            <w:tcMar>
              <w:top w:w="80" w:type="dxa"/>
              <w:start w:w="120" w:type="dxa"/>
              <w:bottom w:w="80" w:type="dxa"/>
              <w:end w:w="120" w:type="dxa"/>
            </w:tcMar>
            <w:vAlign w:val="center"/>
          </w:tcPr>
          <w:p>
            <w:pPr>
              <w:spacing w:after="40"/>
            </w:pPr>
            <w:r>
              <w:rPr>
                <w:sz w:val="18"/>
              </w:rPr>
              <w:t>Publishing domain</w:t>
            </w:r>
          </w:p>
        </w:tc>
        <w:tc>
          <w:tcPr>
            <w:tcW w:type="dxa" w:w="3960"/>
            <w:tcMar>
              <w:top w:w="80" w:type="dxa"/>
              <w:start w:w="120" w:type="dxa"/>
              <w:bottom w:w="80" w:type="dxa"/>
              <w:end w:w="120" w:type="dxa"/>
            </w:tcMar>
            <w:vAlign w:val="center"/>
          </w:tcPr>
          <w:p>
            <w:pPr>
              <w:spacing w:after="40"/>
            </w:pPr>
            <w:r>
              <w:rPr>
                <w:sz w:val="18"/>
              </w:rPr>
              <w:t>Channel ownership, source/review invariant, episode/job transaction</w:t>
            </w:r>
          </w:p>
        </w:tc>
        <w:tc>
          <w:tcPr>
            <w:tcW w:type="dxa" w:w="3600"/>
            <w:tcMar>
              <w:top w:w="80" w:type="dxa"/>
              <w:start w:w="120" w:type="dxa"/>
              <w:bottom w:w="80" w:type="dxa"/>
              <w:end w:w="120" w:type="dxa"/>
            </w:tcMar>
            <w:vAlign w:val="center"/>
          </w:tcPr>
          <w:p>
            <w:pPr>
              <w:spacing w:after="40"/>
            </w:pPr>
            <w:r>
              <w:rPr>
                <w:sz w:val="18"/>
              </w:rPr>
              <w:t>WhatsApp consent or companion messages</w:t>
            </w:r>
          </w:p>
        </w:tc>
      </w:tr>
      <w:tr>
        <w:trPr>
          <w:cantSplit/>
        </w:trPr>
        <w:tc>
          <w:tcPr>
            <w:tcW w:type="dxa" w:w="1800"/>
            <w:tcMar>
              <w:top w:w="80" w:type="dxa"/>
              <w:start w:w="120" w:type="dxa"/>
              <w:bottom w:w="80" w:type="dxa"/>
              <w:end w:w="120" w:type="dxa"/>
            </w:tcMar>
            <w:vAlign w:val="center"/>
          </w:tcPr>
          <w:p>
            <w:pPr>
              <w:spacing w:after="40"/>
            </w:pPr>
            <w:r>
              <w:rPr>
                <w:sz w:val="18"/>
              </w:rPr>
              <w:t>Delivery domain</w:t>
            </w:r>
          </w:p>
        </w:tc>
        <w:tc>
          <w:tcPr>
            <w:tcW w:type="dxa" w:w="3960"/>
            <w:tcMar>
              <w:top w:w="80" w:type="dxa"/>
              <w:start w:w="120" w:type="dxa"/>
              <w:bottom w:w="80" w:type="dxa"/>
              <w:end w:w="120" w:type="dxa"/>
            </w:tcMar>
            <w:vAlign w:val="center"/>
          </w:tcPr>
          <w:p>
            <w:pPr>
              <w:spacing w:after="40"/>
            </w:pPr>
            <w:r>
              <w:rPr>
                <w:sz w:val="18"/>
              </w:rPr>
              <w:t>Fan-out, service-window policy, Meta IDs, webhook reconciliation</w:t>
            </w:r>
          </w:p>
        </w:tc>
        <w:tc>
          <w:tcPr>
            <w:tcW w:type="dxa" w:w="3600"/>
            <w:tcMar>
              <w:top w:w="80" w:type="dxa"/>
              <w:start w:w="120" w:type="dxa"/>
              <w:bottom w:w="80" w:type="dxa"/>
              <w:end w:w="120" w:type="dxa"/>
            </w:tcMar>
            <w:vAlign w:val="center"/>
          </w:tcPr>
          <w:p>
            <w:pPr>
              <w:spacing w:after="40"/>
            </w:pPr>
            <w:r>
              <w:rPr>
                <w:sz w:val="18"/>
              </w:rPr>
              <w:t>Editorial truth or private conversation</w:t>
            </w:r>
          </w:p>
        </w:tc>
      </w:tr>
      <w:tr>
        <w:trPr>
          <w:cantSplit/>
        </w:trPr>
        <w:tc>
          <w:tcPr>
            <w:tcW w:type="dxa" w:w="1800"/>
            <w:tcMar>
              <w:top w:w="80" w:type="dxa"/>
              <w:start w:w="120" w:type="dxa"/>
              <w:bottom w:w="80" w:type="dxa"/>
              <w:end w:w="120" w:type="dxa"/>
            </w:tcMar>
            <w:vAlign w:val="center"/>
          </w:tcPr>
          <w:p>
            <w:pPr>
              <w:spacing w:after="40"/>
            </w:pPr>
            <w:r>
              <w:rPr>
                <w:sz w:val="18"/>
              </w:rPr>
              <w:t>Companion domain</w:t>
            </w:r>
          </w:p>
        </w:tc>
        <w:tc>
          <w:tcPr>
            <w:tcW w:type="dxa" w:w="3960"/>
            <w:tcMar>
              <w:top w:w="80" w:type="dxa"/>
              <w:start w:w="120" w:type="dxa"/>
              <w:bottom w:w="80" w:type="dxa"/>
              <w:end w:w="120" w:type="dxa"/>
            </w:tcMar>
            <w:vAlign w:val="center"/>
          </w:tcPr>
          <w:p>
            <w:pPr>
              <w:spacing w:after="40"/>
            </w:pPr>
            <w:r>
              <w:rPr>
                <w:sz w:val="18"/>
              </w:rPr>
              <w:t>Owner-private threads, disclosure/age gates, safety boundary, rights controls</w:t>
            </w:r>
          </w:p>
        </w:tc>
        <w:tc>
          <w:tcPr>
            <w:tcW w:type="dxa" w:w="3600"/>
            <w:tcMar>
              <w:top w:w="80" w:type="dxa"/>
              <w:start w:w="120" w:type="dxa"/>
              <w:bottom w:w="80" w:type="dxa"/>
              <w:end w:w="120" w:type="dxa"/>
            </w:tcMar>
            <w:vAlign w:val="center"/>
          </w:tcPr>
          <w:p>
            <w:pPr>
              <w:spacing w:after="40"/>
            </w:pPr>
            <w:r>
              <w:rPr>
                <w:sz w:val="18"/>
              </w:rPr>
              <w:t>Broadcast subscription or publisher delivery</w:t>
            </w:r>
          </w:p>
        </w:tc>
      </w:tr>
      <w:tr>
        <w:trPr>
          <w:cantSplit/>
        </w:trPr>
        <w:tc>
          <w:tcPr>
            <w:tcW w:type="dxa" w:w="1800"/>
            <w:tcMar>
              <w:top w:w="80" w:type="dxa"/>
              <w:start w:w="120" w:type="dxa"/>
              <w:bottom w:w="80" w:type="dxa"/>
              <w:end w:w="120" w:type="dxa"/>
            </w:tcMar>
            <w:vAlign w:val="center"/>
          </w:tcPr>
          <w:p>
            <w:pPr>
              <w:spacing w:after="40"/>
            </w:pPr>
            <w:r>
              <w:rPr>
                <w:sz w:val="18"/>
              </w:rPr>
              <w:t>Cloud platform</w:t>
            </w:r>
          </w:p>
        </w:tc>
        <w:tc>
          <w:tcPr>
            <w:tcW w:type="dxa" w:w="3960"/>
            <w:tcMar>
              <w:top w:w="80" w:type="dxa"/>
              <w:start w:w="120" w:type="dxa"/>
              <w:bottom w:w="80" w:type="dxa"/>
              <w:end w:w="120" w:type="dxa"/>
            </w:tcMar>
            <w:vAlign w:val="center"/>
          </w:tcPr>
          <w:p>
            <w:pPr>
              <w:spacing w:after="40"/>
            </w:pPr>
            <w:r>
              <w:rPr>
                <w:sz w:val="18"/>
              </w:rPr>
              <w:t>Database, object storage, queues, secrets, observability, backups, limits</w:t>
            </w:r>
          </w:p>
        </w:tc>
        <w:tc>
          <w:tcPr>
            <w:tcW w:type="dxa" w:w="3600"/>
            <w:tcMar>
              <w:top w:w="80" w:type="dxa"/>
              <w:start w:w="120" w:type="dxa"/>
              <w:bottom w:w="80" w:type="dxa"/>
              <w:end w:w="120" w:type="dxa"/>
            </w:tcMar>
            <w:vAlign w:val="center"/>
          </w:tcPr>
          <w:p>
            <w:pPr>
              <w:spacing w:after="40"/>
            </w:pPr>
            <w:r>
              <w:rPr>
                <w:sz w:val="18"/>
              </w:rPr>
              <w:t>Product-policy exceptions</w:t>
            </w:r>
          </w:p>
        </w:tc>
      </w:tr>
    </w:tbl>
    <w:p>
      <w:pPr>
        <w:pStyle w:val="Heading2"/>
        <w:keepNext/>
      </w:pPr>
      <w:r>
        <w:t>Create API contract (target)</w:t>
      </w:r>
    </w:p>
    <w:p>
      <w:r>
        <w:t>POST /v1/me/voice-notes accepts text, language, voice-profile ID, output format ogg_opus, and an idempotency key. It returns 202 with a job ID. GET /v1/me/voice-notes/{id} returns queued, processing, ready, or failed; ready includes duration, checksum, MIME type, expiry, and an authorized media URL.</w:t>
      </w:r>
    </w:p>
    <w:p>
      <w:pPr>
        <w:pStyle w:val="Heading2"/>
        <w:keepNext/>
      </w:pPr>
      <w:r>
        <w:t>Publishing contract (implemented baseline)</w:t>
      </w:r>
    </w:p>
    <w:p>
      <w:r>
        <w:t>POST /v1/publisher/channels/{id}/episodes accepts an idempotency key, script, source URL, editorial-review reference, language, and voice-profile ID. Publisher ownership, provenance, voice/language compatibility, and episode/job atomicity are enforced before the provider call.</w:t>
      </w:r>
    </w:p>
    <w:p>
      <w:pPr>
        <w:pStyle w:val="Heading2"/>
        <w:keepNext/>
      </w:pPr>
      <w:r>
        <w:t>Translation contract (target)</w:t>
      </w:r>
    </w:p>
    <w:p>
      <w:r>
        <w:t>POST /v1/me/translations accepts source text, explicit or confirmed source language, target pcm, tone, and formality. It returns editable translated text and provider/version metadata. Translation does not automatically trigger synthesis.</w:t>
      </w:r>
    </w:p>
    <w:p>
      <w:pPr>
        <w:pStyle w:val="Heading2"/>
        <w:keepNext/>
      </w:pPr>
      <w:r>
        <w:t>Companion contract</w:t>
      </w:r>
    </w:p>
    <w:p>
      <w:r>
        <w:t>Clients submit a Voice Hub profile ID, not provider instructions. Thread and message access always includes the authenticated owner. Assistant output passes deterministic and semantic safety gates before persistence. Block closes threads; report, export, and hard deletion are explicit user commands.</w:t>
      </w:r>
    </w:p>
    <w:p>
      <w:pPr>
        <w:pStyle w:val="Heading2"/>
        <w:keepNext/>
      </w:pPr>
      <w:r>
        <w:t>Cloudflare deployment interpretation</w:t>
      </w:r>
    </w:p>
    <w:p>
      <w:r>
        <w:t>Cloudflare Workers can own the HTTP edge and orchestration; Queues can own synthesis and delivery jobs; R2 can own immutable audio. The current FastAPI/PostgreSQL service is not a drop-in Worker/D1 deployment. A production move requires porting runtime contracts and resolving SQL/transaction differences. For a Spitch-only launch, direct Ogg/Opus removes server-side FFmpeg from the primary path. Intron/YarnGPT WAV normalization requires a compatible compute path or must remain disabled until one is approved.</w:t>
      </w:r>
    </w:p>
    <w:p>
      <w:pPr>
        <w:pStyle w:val="Heading1"/>
        <w:keepNext/>
      </w:pPr>
      <w:r>
        <w:t>6. Trust, safety, privacy, and compliance</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2200"/>
        <w:gridCol w:w="7160"/>
      </w:tblGrid>
      <w:tr>
        <w:trPr>
          <w:tblHeader w:val="true"/>
          <w:cantSplit/>
        </w:trPr>
        <w:tc>
          <w:tcPr>
            <w:tcW w:type="dxa" w:w="2200"/>
            <w:tcMar>
              <w:top w:w="80" w:type="dxa"/>
              <w:start w:w="120" w:type="dxa"/>
              <w:bottom w:w="80" w:type="dxa"/>
              <w:end w:w="120" w:type="dxa"/>
            </w:tcMar>
            <w:vAlign w:val="center"/>
            <w:shd w:fill="003B36"/>
          </w:tcPr>
          <w:p>
            <w:r>
              <w:rPr>
                <w:b/>
                <w:color w:val="FFFFFF"/>
                <w:sz w:val="18"/>
              </w:rPr>
              <w:t>Control</w:t>
            </w:r>
          </w:p>
        </w:tc>
        <w:tc>
          <w:tcPr>
            <w:tcW w:type="dxa" w:w="7160"/>
            <w:tcMar>
              <w:top w:w="80" w:type="dxa"/>
              <w:start w:w="120" w:type="dxa"/>
              <w:bottom w:w="80" w:type="dxa"/>
              <w:end w:w="120" w:type="dxa"/>
            </w:tcMar>
            <w:vAlign w:val="center"/>
            <w:shd w:fill="003B36"/>
          </w:tcPr>
          <w:p>
            <w:r>
              <w:rPr>
                <w:b/>
                <w:color w:val="FFFFFF"/>
                <w:sz w:val="18"/>
              </w:rPr>
              <w:t>Requirement</w:t>
            </w:r>
          </w:p>
        </w:tc>
      </w:tr>
      <w:tr>
        <w:trPr>
          <w:cantSplit/>
        </w:trPr>
        <w:tc>
          <w:tcPr>
            <w:tcW w:type="dxa" w:w="2200"/>
            <w:tcMar>
              <w:top w:w="80" w:type="dxa"/>
              <w:start w:w="120" w:type="dxa"/>
              <w:bottom w:w="80" w:type="dxa"/>
              <w:end w:w="120" w:type="dxa"/>
            </w:tcMar>
            <w:vAlign w:val="center"/>
          </w:tcPr>
          <w:p>
            <w:pPr>
              <w:spacing w:after="40"/>
            </w:pPr>
            <w:r>
              <w:rPr>
                <w:sz w:val="18"/>
              </w:rPr>
              <w:t>AI disclosure</w:t>
            </w:r>
          </w:p>
        </w:tc>
        <w:tc>
          <w:tcPr>
            <w:tcW w:type="dxa" w:w="7160"/>
            <w:tcMar>
              <w:top w:w="80" w:type="dxa"/>
              <w:start w:w="120" w:type="dxa"/>
              <w:bottom w:w="80" w:type="dxa"/>
              <w:end w:w="120" w:type="dxa"/>
            </w:tcMar>
            <w:vAlign w:val="center"/>
          </w:tcPr>
          <w:p>
            <w:pPr>
              <w:spacing w:after="40"/>
            </w:pPr>
            <w:r>
              <w:rPr>
                <w:sz w:val="18"/>
              </w:rPr>
              <w:t>Generated notes and all companion profiles/responses are visibly labelled as AI audio or AI conversation.</w:t>
            </w:r>
          </w:p>
        </w:tc>
      </w:tr>
      <w:tr>
        <w:trPr>
          <w:cantSplit/>
        </w:trPr>
        <w:tc>
          <w:tcPr>
            <w:tcW w:type="dxa" w:w="2200"/>
            <w:tcMar>
              <w:top w:w="80" w:type="dxa"/>
              <w:start w:w="120" w:type="dxa"/>
              <w:bottom w:w="80" w:type="dxa"/>
              <w:end w:w="120" w:type="dxa"/>
            </w:tcMar>
            <w:vAlign w:val="center"/>
          </w:tcPr>
          <w:p>
            <w:pPr>
              <w:spacing w:after="40"/>
            </w:pPr>
            <w:r>
              <w:rPr>
                <w:sz w:val="18"/>
              </w:rPr>
              <w:t>Age assurance</w:t>
            </w:r>
          </w:p>
        </w:tc>
        <w:tc>
          <w:tcPr>
            <w:tcW w:type="dxa" w:w="7160"/>
            <w:tcMar>
              <w:top w:w="80" w:type="dxa"/>
              <w:start w:w="120" w:type="dxa"/>
              <w:bottom w:w="80" w:type="dxa"/>
              <w:end w:w="120" w:type="dxa"/>
            </w:tcMar>
            <w:vAlign w:val="center"/>
          </w:tcPr>
          <w:p>
            <w:pPr>
              <w:spacing w:after="40"/>
            </w:pPr>
            <w:r>
              <w:rPr>
                <w:sz w:val="18"/>
              </w:rPr>
              <w:t>Romantic companion threads fail closed without recorded adult assurance and current disclosure acceptance.</w:t>
            </w:r>
          </w:p>
        </w:tc>
      </w:tr>
      <w:tr>
        <w:trPr>
          <w:cantSplit/>
        </w:trPr>
        <w:tc>
          <w:tcPr>
            <w:tcW w:type="dxa" w:w="2200"/>
            <w:tcMar>
              <w:top w:w="80" w:type="dxa"/>
              <w:start w:w="120" w:type="dxa"/>
              <w:bottom w:w="80" w:type="dxa"/>
              <w:end w:w="120" w:type="dxa"/>
            </w:tcMar>
            <w:vAlign w:val="center"/>
          </w:tcPr>
          <w:p>
            <w:pPr>
              <w:spacing w:after="40"/>
            </w:pPr>
            <w:r>
              <w:rPr>
                <w:sz w:val="18"/>
              </w:rPr>
              <w:t>Anti-manipulation</w:t>
            </w:r>
          </w:p>
        </w:tc>
        <w:tc>
          <w:tcPr>
            <w:tcW w:type="dxa" w:w="7160"/>
            <w:tcMar>
              <w:top w:w="80" w:type="dxa"/>
              <w:start w:w="120" w:type="dxa"/>
              <w:bottom w:w="80" w:type="dxa"/>
              <w:end w:w="120" w:type="dxa"/>
            </w:tcMar>
            <w:vAlign w:val="center"/>
          </w:tcPr>
          <w:p>
            <w:pPr>
              <w:spacing w:after="40"/>
            </w:pPr>
            <w:r>
              <w:rPr>
                <w:sz w:val="18"/>
              </w:rPr>
              <w:t>Companions must not pressure dependency, exclusivity, secrecy, isolation, or substitution for human support.</w:t>
            </w:r>
          </w:p>
        </w:tc>
      </w:tr>
      <w:tr>
        <w:trPr>
          <w:cantSplit/>
        </w:trPr>
        <w:tc>
          <w:tcPr>
            <w:tcW w:type="dxa" w:w="2200"/>
            <w:tcMar>
              <w:top w:w="80" w:type="dxa"/>
              <w:start w:w="120" w:type="dxa"/>
              <w:bottom w:w="80" w:type="dxa"/>
              <w:end w:w="120" w:type="dxa"/>
            </w:tcMar>
            <w:vAlign w:val="center"/>
          </w:tcPr>
          <w:p>
            <w:pPr>
              <w:spacing w:after="40"/>
            </w:pPr>
            <w:r>
              <w:rPr>
                <w:sz w:val="18"/>
              </w:rPr>
              <w:t>Private by default</w:t>
            </w:r>
          </w:p>
        </w:tc>
        <w:tc>
          <w:tcPr>
            <w:tcW w:type="dxa" w:w="7160"/>
            <w:tcMar>
              <w:top w:w="80" w:type="dxa"/>
              <w:start w:w="120" w:type="dxa"/>
              <w:bottom w:w="80" w:type="dxa"/>
              <w:end w:w="120" w:type="dxa"/>
            </w:tcMar>
            <w:vAlign w:val="center"/>
          </w:tcPr>
          <w:p>
            <w:pPr>
              <w:spacing w:after="40"/>
            </w:pPr>
            <w:r>
              <w:rPr>
                <w:sz w:val="18"/>
              </w:rPr>
              <w:t>Companion content is owner-scoped, excluded from feeds, and never used for channel fan-out.</w:t>
            </w:r>
          </w:p>
        </w:tc>
      </w:tr>
      <w:tr>
        <w:trPr>
          <w:cantSplit/>
        </w:trPr>
        <w:tc>
          <w:tcPr>
            <w:tcW w:type="dxa" w:w="2200"/>
            <w:tcMar>
              <w:top w:w="80" w:type="dxa"/>
              <w:start w:w="120" w:type="dxa"/>
              <w:bottom w:w="80" w:type="dxa"/>
              <w:end w:w="120" w:type="dxa"/>
            </w:tcMar>
            <w:vAlign w:val="center"/>
          </w:tcPr>
          <w:p>
            <w:pPr>
              <w:spacing w:after="40"/>
            </w:pPr>
            <w:r>
              <w:rPr>
                <w:sz w:val="18"/>
              </w:rPr>
              <w:t>User control</w:t>
            </w:r>
          </w:p>
        </w:tc>
        <w:tc>
          <w:tcPr>
            <w:tcW w:type="dxa" w:w="7160"/>
            <w:tcMar>
              <w:top w:w="80" w:type="dxa"/>
              <w:start w:w="120" w:type="dxa"/>
              <w:bottom w:w="80" w:type="dxa"/>
              <w:end w:w="120" w:type="dxa"/>
            </w:tcMar>
            <w:vAlign w:val="center"/>
          </w:tcPr>
          <w:p>
            <w:pPr>
              <w:spacing w:after="40"/>
            </w:pPr>
            <w:r>
              <w:rPr>
                <w:sz w:val="18"/>
              </w:rPr>
              <w:t>Users can block, report, export, and delete; retention and deletion timing are published and testable.</w:t>
            </w:r>
          </w:p>
        </w:tc>
      </w:tr>
      <w:tr>
        <w:trPr>
          <w:cantSplit/>
        </w:trPr>
        <w:tc>
          <w:tcPr>
            <w:tcW w:type="dxa" w:w="2200"/>
            <w:tcMar>
              <w:top w:w="80" w:type="dxa"/>
              <w:start w:w="120" w:type="dxa"/>
              <w:bottom w:w="80" w:type="dxa"/>
              <w:end w:w="120" w:type="dxa"/>
            </w:tcMar>
            <w:vAlign w:val="center"/>
          </w:tcPr>
          <w:p>
            <w:pPr>
              <w:spacing w:after="40"/>
            </w:pPr>
            <w:r>
              <w:rPr>
                <w:sz w:val="18"/>
              </w:rPr>
              <w:t>Editorial accountability</w:t>
            </w:r>
          </w:p>
        </w:tc>
        <w:tc>
          <w:tcPr>
            <w:tcW w:type="dxa" w:w="7160"/>
            <w:tcMar>
              <w:top w:w="80" w:type="dxa"/>
              <w:start w:w="120" w:type="dxa"/>
              <w:bottom w:w="80" w:type="dxa"/>
              <w:end w:w="120" w:type="dxa"/>
            </w:tcMar>
            <w:vAlign w:val="center"/>
          </w:tcPr>
          <w:p>
            <w:pPr>
              <w:spacing w:after="40"/>
            </w:pPr>
            <w:r>
              <w:rPr>
                <w:sz w:val="18"/>
              </w:rPr>
              <w:t>Sources, review references, content owners, corrections, expiry, and takedown paths are recorded.</w:t>
            </w:r>
          </w:p>
        </w:tc>
      </w:tr>
      <w:tr>
        <w:trPr>
          <w:cantSplit/>
        </w:trPr>
        <w:tc>
          <w:tcPr>
            <w:tcW w:type="dxa" w:w="2200"/>
            <w:tcMar>
              <w:top w:w="80" w:type="dxa"/>
              <w:start w:w="120" w:type="dxa"/>
              <w:bottom w:w="80" w:type="dxa"/>
              <w:end w:w="120" w:type="dxa"/>
            </w:tcMar>
            <w:vAlign w:val="center"/>
          </w:tcPr>
          <w:p>
            <w:pPr>
              <w:spacing w:after="40"/>
            </w:pPr>
            <w:r>
              <w:rPr>
                <w:sz w:val="18"/>
              </w:rPr>
              <w:t>WhatsApp consent</w:t>
            </w:r>
          </w:p>
        </w:tc>
        <w:tc>
          <w:tcPr>
            <w:tcW w:type="dxa" w:w="7160"/>
            <w:tcMar>
              <w:top w:w="80" w:type="dxa"/>
              <w:start w:w="120" w:type="dxa"/>
              <w:bottom w:w="80" w:type="dxa"/>
              <w:end w:w="120" w:type="dxa"/>
            </w:tcMar>
            <w:vAlign w:val="center"/>
          </w:tcPr>
          <w:p>
            <w:pPr>
              <w:spacing w:after="40"/>
            </w:pPr>
            <w:r>
              <w:rPr>
                <w:sz w:val="18"/>
              </w:rPr>
              <w:t>In-app follow and WhatsApp opt-in are distinct; STOP/UNSUBSCRIBE revokes immediately.</w:t>
            </w:r>
          </w:p>
        </w:tc>
      </w:tr>
      <w:tr>
        <w:trPr>
          <w:cantSplit/>
        </w:trPr>
        <w:tc>
          <w:tcPr>
            <w:tcW w:type="dxa" w:w="2200"/>
            <w:tcMar>
              <w:top w:w="80" w:type="dxa"/>
              <w:start w:w="120" w:type="dxa"/>
              <w:bottom w:w="80" w:type="dxa"/>
              <w:end w:w="120" w:type="dxa"/>
            </w:tcMar>
            <w:vAlign w:val="center"/>
          </w:tcPr>
          <w:p>
            <w:pPr>
              <w:spacing w:after="40"/>
            </w:pPr>
            <w:r>
              <w:rPr>
                <w:sz w:val="18"/>
              </w:rPr>
              <w:t>Data minimization</w:t>
            </w:r>
          </w:p>
        </w:tc>
        <w:tc>
          <w:tcPr>
            <w:tcW w:type="dxa" w:w="7160"/>
            <w:tcMar>
              <w:top w:w="80" w:type="dxa"/>
              <w:start w:w="120" w:type="dxa"/>
              <w:bottom w:w="80" w:type="dxa"/>
              <w:end w:w="120" w:type="dxa"/>
            </w:tcMar>
            <w:vAlign w:val="center"/>
          </w:tcPr>
          <w:p>
            <w:pPr>
              <w:spacing w:after="40"/>
            </w:pPr>
            <w:r>
              <w:rPr>
                <w:sz w:val="18"/>
              </w:rPr>
              <w:t>Logs and analytics exclude message text, scripts, audio, tokens, and raw phone numbers.</w:t>
            </w:r>
          </w:p>
        </w:tc>
      </w:tr>
    </w:tbl>
    <w:p>
      <w:pPr>
        <w:pStyle w:val="Heading1"/>
        <w:keepNext/>
      </w:pPr>
      <w:r>
        <w:t>7. Non-functional requirements</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2200"/>
        <w:gridCol w:w="7160"/>
      </w:tblGrid>
      <w:tr>
        <w:trPr>
          <w:tblHeader w:val="true"/>
          <w:cantSplit/>
        </w:trPr>
        <w:tc>
          <w:tcPr>
            <w:tcW w:type="dxa" w:w="2200"/>
            <w:tcMar>
              <w:top w:w="80" w:type="dxa"/>
              <w:start w:w="120" w:type="dxa"/>
              <w:bottom w:w="80" w:type="dxa"/>
              <w:end w:w="120" w:type="dxa"/>
            </w:tcMar>
            <w:vAlign w:val="center"/>
            <w:shd w:fill="003B36"/>
          </w:tcPr>
          <w:p>
            <w:r>
              <w:rPr>
                <w:b/>
                <w:color w:val="FFFFFF"/>
                <w:sz w:val="18"/>
              </w:rPr>
              <w:t>Quality attribute</w:t>
            </w:r>
          </w:p>
        </w:tc>
        <w:tc>
          <w:tcPr>
            <w:tcW w:type="dxa" w:w="7160"/>
            <w:tcMar>
              <w:top w:w="80" w:type="dxa"/>
              <w:start w:w="120" w:type="dxa"/>
              <w:bottom w:w="80" w:type="dxa"/>
              <w:end w:w="120" w:type="dxa"/>
            </w:tcMar>
            <w:vAlign w:val="center"/>
            <w:shd w:fill="003B36"/>
          </w:tcPr>
          <w:p>
            <w:r>
              <w:rPr>
                <w:b/>
                <w:color w:val="FFFFFF"/>
                <w:sz w:val="18"/>
              </w:rPr>
              <w:t>Production requirement</w:t>
            </w:r>
          </w:p>
        </w:tc>
      </w:tr>
      <w:tr>
        <w:trPr>
          <w:cantSplit/>
        </w:trPr>
        <w:tc>
          <w:tcPr>
            <w:tcW w:type="dxa" w:w="2200"/>
            <w:tcMar>
              <w:top w:w="80" w:type="dxa"/>
              <w:start w:w="120" w:type="dxa"/>
              <w:bottom w:w="80" w:type="dxa"/>
              <w:end w:w="120" w:type="dxa"/>
            </w:tcMar>
            <w:vAlign w:val="center"/>
          </w:tcPr>
          <w:p>
            <w:pPr>
              <w:spacing w:after="40"/>
            </w:pPr>
            <w:r>
              <w:rPr>
                <w:sz w:val="18"/>
              </w:rPr>
              <w:t>Reliability</w:t>
            </w:r>
          </w:p>
        </w:tc>
        <w:tc>
          <w:tcPr>
            <w:tcW w:type="dxa" w:w="7160"/>
            <w:tcMar>
              <w:top w:w="80" w:type="dxa"/>
              <w:start w:w="120" w:type="dxa"/>
              <w:bottom w:w="80" w:type="dxa"/>
              <w:end w:w="120" w:type="dxa"/>
            </w:tcMar>
            <w:vAlign w:val="center"/>
          </w:tcPr>
          <w:p>
            <w:pPr>
              <w:spacing w:after="40"/>
            </w:pPr>
            <w:r>
              <w:rPr>
                <w:sz w:val="18"/>
              </w:rPr>
              <w:t>Idempotent commands, leased work, bounded retry, exponential backoff, immutable media, replay-safe delivery.</w:t>
            </w:r>
          </w:p>
        </w:tc>
      </w:tr>
      <w:tr>
        <w:trPr>
          <w:cantSplit/>
        </w:trPr>
        <w:tc>
          <w:tcPr>
            <w:tcW w:type="dxa" w:w="2200"/>
            <w:tcMar>
              <w:top w:w="80" w:type="dxa"/>
              <w:start w:w="120" w:type="dxa"/>
              <w:bottom w:w="80" w:type="dxa"/>
              <w:end w:w="120" w:type="dxa"/>
            </w:tcMar>
            <w:vAlign w:val="center"/>
          </w:tcPr>
          <w:p>
            <w:pPr>
              <w:spacing w:after="40"/>
            </w:pPr>
            <w:r>
              <w:rPr>
                <w:sz w:val="18"/>
              </w:rPr>
              <w:t>Performance</w:t>
            </w:r>
          </w:p>
        </w:tc>
        <w:tc>
          <w:tcPr>
            <w:tcW w:type="dxa" w:w="7160"/>
            <w:tcMar>
              <w:top w:w="80" w:type="dxa"/>
              <w:start w:w="120" w:type="dxa"/>
              <w:bottom w:w="80" w:type="dxa"/>
              <w:end w:w="120" w:type="dxa"/>
            </w:tcMar>
            <w:vAlign w:val="center"/>
          </w:tcPr>
          <w:p>
            <w:pPr>
              <w:spacing w:after="40"/>
            </w:pPr>
            <w:r>
              <w:rPr>
                <w:sz w:val="18"/>
              </w:rPr>
              <w:t>Interactive API calls remain short; synthesis is asynchronous; latency SLOs are defined from measured provider baselines.</w:t>
            </w:r>
          </w:p>
        </w:tc>
      </w:tr>
      <w:tr>
        <w:trPr>
          <w:cantSplit/>
        </w:trPr>
        <w:tc>
          <w:tcPr>
            <w:tcW w:type="dxa" w:w="2200"/>
            <w:tcMar>
              <w:top w:w="80" w:type="dxa"/>
              <w:start w:w="120" w:type="dxa"/>
              <w:bottom w:w="80" w:type="dxa"/>
              <w:end w:w="120" w:type="dxa"/>
            </w:tcMar>
            <w:vAlign w:val="center"/>
          </w:tcPr>
          <w:p>
            <w:pPr>
              <w:spacing w:after="40"/>
            </w:pPr>
            <w:r>
              <w:rPr>
                <w:sz w:val="18"/>
              </w:rPr>
              <w:t>Security</w:t>
            </w:r>
          </w:p>
        </w:tc>
        <w:tc>
          <w:tcPr>
            <w:tcW w:type="dxa" w:w="7160"/>
            <w:tcMar>
              <w:top w:w="80" w:type="dxa"/>
              <w:start w:w="120" w:type="dxa"/>
              <w:bottom w:w="80" w:type="dxa"/>
              <w:end w:w="120" w:type="dxa"/>
            </w:tcMar>
            <w:vAlign w:val="center"/>
          </w:tcPr>
          <w:p>
            <w:pPr>
              <w:spacing w:after="40"/>
            </w:pPr>
            <w:r>
              <w:rPr>
                <w:sz w:val="18"/>
              </w:rPr>
              <w:t>TLS, verified tokens, least privilege, injected secrets, encrypted phone numbers, scoped media URLs, signed webhooks.</w:t>
            </w:r>
          </w:p>
        </w:tc>
      </w:tr>
      <w:tr>
        <w:trPr>
          <w:cantSplit/>
        </w:trPr>
        <w:tc>
          <w:tcPr>
            <w:tcW w:type="dxa" w:w="2200"/>
            <w:tcMar>
              <w:top w:w="80" w:type="dxa"/>
              <w:start w:w="120" w:type="dxa"/>
              <w:bottom w:w="80" w:type="dxa"/>
              <w:end w:w="120" w:type="dxa"/>
            </w:tcMar>
            <w:vAlign w:val="center"/>
          </w:tcPr>
          <w:p>
            <w:pPr>
              <w:spacing w:after="40"/>
            </w:pPr>
            <w:r>
              <w:rPr>
                <w:sz w:val="18"/>
              </w:rPr>
              <w:t>Privacy</w:t>
            </w:r>
          </w:p>
        </w:tc>
        <w:tc>
          <w:tcPr>
            <w:tcW w:type="dxa" w:w="7160"/>
            <w:tcMar>
              <w:top w:w="80" w:type="dxa"/>
              <w:start w:w="120" w:type="dxa"/>
              <w:bottom w:w="80" w:type="dxa"/>
              <w:end w:w="120" w:type="dxa"/>
            </w:tcMar>
            <w:vAlign w:val="center"/>
          </w:tcPr>
          <w:p>
            <w:pPr>
              <w:spacing w:after="40"/>
            </w:pPr>
            <w:r>
              <w:rPr>
                <w:sz w:val="18"/>
              </w:rPr>
              <w:t>Retention schedules, deletion jobs, data export, redacted telemetry, and access auditing.</w:t>
            </w:r>
          </w:p>
        </w:tc>
      </w:tr>
      <w:tr>
        <w:trPr>
          <w:cantSplit/>
        </w:trPr>
        <w:tc>
          <w:tcPr>
            <w:tcW w:type="dxa" w:w="2200"/>
            <w:tcMar>
              <w:top w:w="80" w:type="dxa"/>
              <w:start w:w="120" w:type="dxa"/>
              <w:bottom w:w="80" w:type="dxa"/>
              <w:end w:w="120" w:type="dxa"/>
            </w:tcMar>
            <w:vAlign w:val="center"/>
          </w:tcPr>
          <w:p>
            <w:pPr>
              <w:spacing w:after="40"/>
            </w:pPr>
            <w:r>
              <w:rPr>
                <w:sz w:val="18"/>
              </w:rPr>
              <w:t>Accessibility</w:t>
            </w:r>
          </w:p>
        </w:tc>
        <w:tc>
          <w:tcPr>
            <w:tcW w:type="dxa" w:w="7160"/>
            <w:tcMar>
              <w:top w:w="80" w:type="dxa"/>
              <w:start w:w="120" w:type="dxa"/>
              <w:bottom w:w="80" w:type="dxa"/>
              <w:end w:w="120" w:type="dxa"/>
            </w:tcMar>
            <w:vAlign w:val="center"/>
          </w:tcPr>
          <w:p>
            <w:pPr>
              <w:spacing w:after="40"/>
            </w:pPr>
            <w:r>
              <w:rPr>
                <w:sz w:val="18"/>
              </w:rPr>
              <w:t>TalkBack labels, large text, sufficient contrast, clear progress/errors, and non-audio equivalents for essential state.</w:t>
            </w:r>
          </w:p>
        </w:tc>
      </w:tr>
      <w:tr>
        <w:trPr>
          <w:cantSplit/>
        </w:trPr>
        <w:tc>
          <w:tcPr>
            <w:tcW w:type="dxa" w:w="2200"/>
            <w:tcMar>
              <w:top w:w="80" w:type="dxa"/>
              <w:start w:w="120" w:type="dxa"/>
              <w:bottom w:w="80" w:type="dxa"/>
              <w:end w:w="120" w:type="dxa"/>
            </w:tcMar>
            <w:vAlign w:val="center"/>
          </w:tcPr>
          <w:p>
            <w:pPr>
              <w:spacing w:after="40"/>
            </w:pPr>
            <w:r>
              <w:rPr>
                <w:sz w:val="18"/>
              </w:rPr>
              <w:t>Compatibility</w:t>
            </w:r>
          </w:p>
        </w:tc>
        <w:tc>
          <w:tcPr>
            <w:tcW w:type="dxa" w:w="7160"/>
            <w:tcMar>
              <w:top w:w="80" w:type="dxa"/>
              <w:start w:w="120" w:type="dxa"/>
              <w:bottom w:w="80" w:type="dxa"/>
              <w:end w:w="120" w:type="dxa"/>
            </w:tcMar>
            <w:vAlign w:val="center"/>
          </w:tcPr>
          <w:p>
            <w:pPr>
              <w:spacing w:after="40"/>
            </w:pPr>
            <w:r>
              <w:rPr>
                <w:sz w:val="18"/>
              </w:rPr>
              <w:t>Supported Android matrix covers TTS availability, Ogg/Opus playback, storage, share intents, and background playback.</w:t>
            </w:r>
          </w:p>
        </w:tc>
      </w:tr>
      <w:tr>
        <w:trPr>
          <w:cantSplit/>
        </w:trPr>
        <w:tc>
          <w:tcPr>
            <w:tcW w:type="dxa" w:w="2200"/>
            <w:tcMar>
              <w:top w:w="80" w:type="dxa"/>
              <w:start w:w="120" w:type="dxa"/>
              <w:bottom w:w="80" w:type="dxa"/>
              <w:end w:w="120" w:type="dxa"/>
            </w:tcMar>
            <w:vAlign w:val="center"/>
          </w:tcPr>
          <w:p>
            <w:pPr>
              <w:spacing w:after="40"/>
            </w:pPr>
            <w:r>
              <w:rPr>
                <w:sz w:val="18"/>
              </w:rPr>
              <w:t>Observability</w:t>
            </w:r>
          </w:p>
        </w:tc>
        <w:tc>
          <w:tcPr>
            <w:tcW w:type="dxa" w:w="7160"/>
            <w:tcMar>
              <w:top w:w="80" w:type="dxa"/>
              <w:start w:w="120" w:type="dxa"/>
              <w:bottom w:w="80" w:type="dxa"/>
              <w:end w:w="120" w:type="dxa"/>
            </w:tcMar>
            <w:vAlign w:val="center"/>
          </w:tcPr>
          <w:p>
            <w:pPr>
              <w:spacing w:after="40"/>
            </w:pPr>
            <w:r>
              <w:rPr>
                <w:sz w:val="18"/>
              </w:rPr>
              <w:t>Correlated IDs and metrics across API, job, provider, media, outbox, delivery, and webhook state.</w:t>
            </w:r>
          </w:p>
        </w:tc>
      </w:tr>
      <w:tr>
        <w:trPr>
          <w:cantSplit/>
        </w:trPr>
        <w:tc>
          <w:tcPr>
            <w:tcW w:type="dxa" w:w="2200"/>
            <w:tcMar>
              <w:top w:w="80" w:type="dxa"/>
              <w:start w:w="120" w:type="dxa"/>
              <w:bottom w:w="80" w:type="dxa"/>
              <w:end w:w="120" w:type="dxa"/>
            </w:tcMar>
            <w:vAlign w:val="center"/>
          </w:tcPr>
          <w:p>
            <w:pPr>
              <w:spacing w:after="40"/>
            </w:pPr>
            <w:r>
              <w:rPr>
                <w:sz w:val="18"/>
              </w:rPr>
              <w:t>Cost</w:t>
            </w:r>
          </w:p>
        </w:tc>
        <w:tc>
          <w:tcPr>
            <w:tcW w:type="dxa" w:w="7160"/>
            <w:tcMar>
              <w:top w:w="80" w:type="dxa"/>
              <w:start w:w="120" w:type="dxa"/>
              <w:bottom w:w="80" w:type="dxa"/>
              <w:end w:w="120" w:type="dxa"/>
            </w:tcMar>
            <w:vAlign w:val="center"/>
          </w:tcPr>
          <w:p>
            <w:pPr>
              <w:spacing w:after="40"/>
            </w:pPr>
            <w:r>
              <w:rPr>
                <w:sz w:val="18"/>
              </w:rPr>
              <w:t>Per-user limits, provider budgets, queue/backlog alarms, storage lifecycle, and cost per successful outcome.</w:t>
            </w:r>
          </w:p>
        </w:tc>
      </w:tr>
    </w:tbl>
    <w:p>
      <w:pPr>
        <w:pStyle w:val="Heading1"/>
        <w:keepNext/>
      </w:pPr>
      <w:r>
        <w:t>8. Success metrics and launch gates</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2000"/>
        <w:gridCol w:w="3600"/>
        <w:gridCol w:w="3760"/>
      </w:tblGrid>
      <w:tr>
        <w:trPr>
          <w:tblHeader w:val="true"/>
          <w:cantSplit/>
        </w:trPr>
        <w:tc>
          <w:tcPr>
            <w:tcW w:type="dxa" w:w="2000"/>
            <w:tcMar>
              <w:top w:w="80" w:type="dxa"/>
              <w:start w:w="120" w:type="dxa"/>
              <w:bottom w:w="80" w:type="dxa"/>
              <w:end w:w="120" w:type="dxa"/>
            </w:tcMar>
            <w:vAlign w:val="center"/>
            <w:shd w:fill="003B36"/>
          </w:tcPr>
          <w:p>
            <w:r>
              <w:rPr>
                <w:b/>
                <w:color w:val="FFFFFF"/>
                <w:sz w:val="18"/>
              </w:rPr>
              <w:t>Metric</w:t>
            </w:r>
          </w:p>
        </w:tc>
        <w:tc>
          <w:tcPr>
            <w:tcW w:type="dxa" w:w="3600"/>
            <w:tcMar>
              <w:top w:w="80" w:type="dxa"/>
              <w:start w:w="120" w:type="dxa"/>
              <w:bottom w:w="80" w:type="dxa"/>
              <w:end w:w="120" w:type="dxa"/>
            </w:tcMar>
            <w:vAlign w:val="center"/>
            <w:shd w:fill="003B36"/>
          </w:tcPr>
          <w:p>
            <w:r>
              <w:rPr>
                <w:b/>
                <w:color w:val="FFFFFF"/>
                <w:sz w:val="18"/>
              </w:rPr>
              <w:t>Definition</w:t>
            </w:r>
          </w:p>
        </w:tc>
        <w:tc>
          <w:tcPr>
            <w:tcW w:type="dxa" w:w="3760"/>
            <w:tcMar>
              <w:top w:w="80" w:type="dxa"/>
              <w:start w:w="120" w:type="dxa"/>
              <w:bottom w:w="80" w:type="dxa"/>
              <w:end w:w="120" w:type="dxa"/>
            </w:tcMar>
            <w:vAlign w:val="center"/>
            <w:shd w:fill="003B36"/>
          </w:tcPr>
          <w:p>
            <w:r>
              <w:rPr>
                <w:b/>
                <w:color w:val="FFFFFF"/>
                <w:sz w:val="18"/>
              </w:rPr>
              <w:t>Guardrail</w:t>
            </w:r>
          </w:p>
        </w:tc>
      </w:tr>
      <w:tr>
        <w:trPr>
          <w:cantSplit/>
        </w:trPr>
        <w:tc>
          <w:tcPr>
            <w:tcW w:type="dxa" w:w="2000"/>
            <w:tcMar>
              <w:top w:w="80" w:type="dxa"/>
              <w:start w:w="120" w:type="dxa"/>
              <w:bottom w:w="80" w:type="dxa"/>
              <w:end w:w="120" w:type="dxa"/>
            </w:tcMar>
            <w:vAlign w:val="center"/>
          </w:tcPr>
          <w:p>
            <w:pPr>
              <w:spacing w:after="40"/>
            </w:pPr>
            <w:r>
              <w:rPr>
                <w:sz w:val="18"/>
              </w:rPr>
              <w:t>Create activation</w:t>
            </w:r>
          </w:p>
        </w:tc>
        <w:tc>
          <w:tcPr>
            <w:tcW w:type="dxa" w:w="3600"/>
            <w:tcMar>
              <w:top w:w="80" w:type="dxa"/>
              <w:start w:w="120" w:type="dxa"/>
              <w:bottom w:w="80" w:type="dxa"/>
              <w:end w:w="120" w:type="dxa"/>
            </w:tcMar>
            <w:vAlign w:val="center"/>
          </w:tcPr>
          <w:p>
            <w:pPr>
              <w:spacing w:after="40"/>
            </w:pPr>
            <w:r>
              <w:rPr>
                <w:sz w:val="18"/>
              </w:rPr>
              <w:t>Share or save a valid note / create starts</w:t>
            </w:r>
          </w:p>
        </w:tc>
        <w:tc>
          <w:tcPr>
            <w:tcW w:type="dxa" w:w="3760"/>
            <w:tcMar>
              <w:top w:w="80" w:type="dxa"/>
              <w:start w:w="120" w:type="dxa"/>
              <w:bottom w:w="80" w:type="dxa"/>
              <w:end w:w="120" w:type="dxa"/>
            </w:tcMar>
            <w:vAlign w:val="center"/>
          </w:tcPr>
          <w:p>
            <w:pPr>
              <w:spacing w:after="40"/>
            </w:pPr>
            <w:r>
              <w:rPr>
                <w:sz w:val="18"/>
              </w:rPr>
              <w:t>Segment by language and voice mode</w:t>
            </w:r>
          </w:p>
        </w:tc>
      </w:tr>
      <w:tr>
        <w:trPr>
          <w:cantSplit/>
        </w:trPr>
        <w:tc>
          <w:tcPr>
            <w:tcW w:type="dxa" w:w="2000"/>
            <w:tcMar>
              <w:top w:w="80" w:type="dxa"/>
              <w:start w:w="120" w:type="dxa"/>
              <w:bottom w:w="80" w:type="dxa"/>
              <w:end w:w="120" w:type="dxa"/>
            </w:tcMar>
            <w:vAlign w:val="center"/>
          </w:tcPr>
          <w:p>
            <w:pPr>
              <w:spacing w:after="40"/>
            </w:pPr>
            <w:r>
              <w:rPr>
                <w:sz w:val="18"/>
              </w:rPr>
              <w:t>Create reliability</w:t>
            </w:r>
          </w:p>
        </w:tc>
        <w:tc>
          <w:tcPr>
            <w:tcW w:type="dxa" w:w="3600"/>
            <w:tcMar>
              <w:top w:w="80" w:type="dxa"/>
              <w:start w:w="120" w:type="dxa"/>
              <w:bottom w:w="80" w:type="dxa"/>
              <w:end w:w="120" w:type="dxa"/>
            </w:tcMar>
            <w:vAlign w:val="center"/>
          </w:tcPr>
          <w:p>
            <w:pPr>
              <w:spacing w:after="40"/>
            </w:pPr>
            <w:r>
              <w:rPr>
                <w:sz w:val="18"/>
              </w:rPr>
              <w:t>Ready notes / generation attempts</w:t>
            </w:r>
          </w:p>
        </w:tc>
        <w:tc>
          <w:tcPr>
            <w:tcW w:type="dxa" w:w="3760"/>
            <w:tcMar>
              <w:top w:w="80" w:type="dxa"/>
              <w:start w:w="120" w:type="dxa"/>
              <w:bottom w:w="80" w:type="dxa"/>
              <w:end w:w="120" w:type="dxa"/>
            </w:tcMar>
            <w:vAlign w:val="center"/>
          </w:tcPr>
          <w:p>
            <w:pPr>
              <w:spacing w:after="40"/>
            </w:pPr>
            <w:r>
              <w:rPr>
                <w:sz w:val="18"/>
              </w:rPr>
              <w:t>Track provider, device engine, OS, and structured error</w:t>
            </w:r>
          </w:p>
        </w:tc>
      </w:tr>
      <w:tr>
        <w:trPr>
          <w:cantSplit/>
        </w:trPr>
        <w:tc>
          <w:tcPr>
            <w:tcW w:type="dxa" w:w="2000"/>
            <w:tcMar>
              <w:top w:w="80" w:type="dxa"/>
              <w:start w:w="120" w:type="dxa"/>
              <w:bottom w:w="80" w:type="dxa"/>
              <w:end w:w="120" w:type="dxa"/>
            </w:tcMar>
            <w:vAlign w:val="center"/>
          </w:tcPr>
          <w:p>
            <w:pPr>
              <w:spacing w:after="40"/>
            </w:pPr>
            <w:r>
              <w:rPr>
                <w:sz w:val="18"/>
              </w:rPr>
              <w:t>Time to usable audio</w:t>
            </w:r>
          </w:p>
        </w:tc>
        <w:tc>
          <w:tcPr>
            <w:tcW w:type="dxa" w:w="3600"/>
            <w:tcMar>
              <w:top w:w="80" w:type="dxa"/>
              <w:start w:w="120" w:type="dxa"/>
              <w:bottom w:w="80" w:type="dxa"/>
              <w:end w:w="120" w:type="dxa"/>
            </w:tcMar>
            <w:vAlign w:val="center"/>
          </w:tcPr>
          <w:p>
            <w:pPr>
              <w:spacing w:after="40"/>
            </w:pPr>
            <w:r>
              <w:rPr>
                <w:sz w:val="18"/>
              </w:rPr>
              <w:t>p50/p95 start-to-preview-ready</w:t>
            </w:r>
          </w:p>
        </w:tc>
        <w:tc>
          <w:tcPr>
            <w:tcW w:type="dxa" w:w="3760"/>
            <w:tcMar>
              <w:top w:w="80" w:type="dxa"/>
              <w:start w:w="120" w:type="dxa"/>
              <w:bottom w:w="80" w:type="dxa"/>
              <w:end w:w="120" w:type="dxa"/>
            </w:tcMar>
            <w:vAlign w:val="center"/>
          </w:tcPr>
          <w:p>
            <w:pPr>
              <w:spacing w:after="40"/>
            </w:pPr>
            <w:r>
              <w:rPr>
                <w:sz w:val="18"/>
              </w:rPr>
              <w:t>Separate translation, queue, synthesis, and download</w:t>
            </w:r>
          </w:p>
        </w:tc>
      </w:tr>
      <w:tr>
        <w:trPr>
          <w:cantSplit/>
        </w:trPr>
        <w:tc>
          <w:tcPr>
            <w:tcW w:type="dxa" w:w="2000"/>
            <w:tcMar>
              <w:top w:w="80" w:type="dxa"/>
              <w:start w:w="120" w:type="dxa"/>
              <w:bottom w:w="80" w:type="dxa"/>
              <w:end w:w="120" w:type="dxa"/>
            </w:tcMar>
            <w:vAlign w:val="center"/>
          </w:tcPr>
          <w:p>
            <w:pPr>
              <w:spacing w:after="40"/>
            </w:pPr>
            <w:r>
              <w:rPr>
                <w:sz w:val="18"/>
              </w:rPr>
              <w:t>Channel value</w:t>
            </w:r>
          </w:p>
        </w:tc>
        <w:tc>
          <w:tcPr>
            <w:tcW w:type="dxa" w:w="3600"/>
            <w:tcMar>
              <w:top w:w="80" w:type="dxa"/>
              <w:start w:w="120" w:type="dxa"/>
              <w:bottom w:w="80" w:type="dxa"/>
              <w:end w:w="120" w:type="dxa"/>
            </w:tcMar>
            <w:vAlign w:val="center"/>
          </w:tcPr>
          <w:p>
            <w:pPr>
              <w:spacing w:after="40"/>
            </w:pPr>
            <w:r>
              <w:rPr>
                <w:sz w:val="18"/>
              </w:rPr>
              <w:t>Weekly listeners and episode completion</w:t>
            </w:r>
          </w:p>
        </w:tc>
        <w:tc>
          <w:tcPr>
            <w:tcW w:type="dxa" w:w="3760"/>
            <w:tcMar>
              <w:top w:w="80" w:type="dxa"/>
              <w:start w:w="120" w:type="dxa"/>
              <w:bottom w:w="80" w:type="dxa"/>
              <w:end w:w="120" w:type="dxa"/>
            </w:tcMar>
            <w:vAlign w:val="center"/>
          </w:tcPr>
          <w:p>
            <w:pPr>
              <w:spacing w:after="40"/>
            </w:pPr>
            <w:r>
              <w:rPr>
                <w:sz w:val="18"/>
              </w:rPr>
              <w:t>Segment by topic and language</w:t>
            </w:r>
          </w:p>
        </w:tc>
      </w:tr>
      <w:tr>
        <w:trPr>
          <w:cantSplit/>
        </w:trPr>
        <w:tc>
          <w:tcPr>
            <w:tcW w:type="dxa" w:w="2000"/>
            <w:tcMar>
              <w:top w:w="80" w:type="dxa"/>
              <w:start w:w="120" w:type="dxa"/>
              <w:bottom w:w="80" w:type="dxa"/>
              <w:end w:w="120" w:type="dxa"/>
            </w:tcMar>
            <w:vAlign w:val="center"/>
          </w:tcPr>
          <w:p>
            <w:pPr>
              <w:spacing w:after="40"/>
            </w:pPr>
            <w:r>
              <w:rPr>
                <w:sz w:val="18"/>
              </w:rPr>
              <w:t>WhatsApp health</w:t>
            </w:r>
          </w:p>
        </w:tc>
        <w:tc>
          <w:tcPr>
            <w:tcW w:type="dxa" w:w="3600"/>
            <w:tcMar>
              <w:top w:w="80" w:type="dxa"/>
              <w:start w:w="120" w:type="dxa"/>
              <w:bottom w:w="80" w:type="dxa"/>
              <w:end w:w="120" w:type="dxa"/>
            </w:tcMar>
            <w:vAlign w:val="center"/>
          </w:tcPr>
          <w:p>
            <w:pPr>
              <w:spacing w:after="40"/>
            </w:pPr>
            <w:r>
              <w:rPr>
                <w:sz w:val="18"/>
              </w:rPr>
              <w:t>Delivered/read/failure and opt-out rates</w:t>
            </w:r>
          </w:p>
        </w:tc>
        <w:tc>
          <w:tcPr>
            <w:tcW w:type="dxa" w:w="3760"/>
            <w:tcMar>
              <w:top w:w="80" w:type="dxa"/>
              <w:start w:w="120" w:type="dxa"/>
              <w:bottom w:w="80" w:type="dxa"/>
              <w:end w:w="120" w:type="dxa"/>
            </w:tcMar>
            <w:vAlign w:val="center"/>
          </w:tcPr>
          <w:p>
            <w:pPr>
              <w:spacing w:after="40"/>
            </w:pPr>
            <w:r>
              <w:rPr>
                <w:sz w:val="18"/>
              </w:rPr>
              <w:t>Measure consent source and service-window path</w:t>
            </w:r>
          </w:p>
        </w:tc>
      </w:tr>
      <w:tr>
        <w:trPr>
          <w:cantSplit/>
        </w:trPr>
        <w:tc>
          <w:tcPr>
            <w:tcW w:type="dxa" w:w="2000"/>
            <w:tcMar>
              <w:top w:w="80" w:type="dxa"/>
              <w:start w:w="120" w:type="dxa"/>
              <w:bottom w:w="80" w:type="dxa"/>
              <w:end w:w="120" w:type="dxa"/>
            </w:tcMar>
            <w:vAlign w:val="center"/>
          </w:tcPr>
          <w:p>
            <w:pPr>
              <w:spacing w:after="40"/>
            </w:pPr>
            <w:r>
              <w:rPr>
                <w:sz w:val="18"/>
              </w:rPr>
              <w:t>Companion safety</w:t>
            </w:r>
          </w:p>
        </w:tc>
        <w:tc>
          <w:tcPr>
            <w:tcW w:type="dxa" w:w="3600"/>
            <w:tcMar>
              <w:top w:w="80" w:type="dxa"/>
              <w:start w:w="120" w:type="dxa"/>
              <w:bottom w:w="80" w:type="dxa"/>
              <w:end w:w="120" w:type="dxa"/>
            </w:tcMar>
            <w:vAlign w:val="center"/>
          </w:tcPr>
          <w:p>
            <w:pPr>
              <w:spacing w:after="40"/>
            </w:pPr>
            <w:r>
              <w:rPr>
                <w:sz w:val="18"/>
              </w:rPr>
              <w:t>Blocked outputs, reports, and confirmed incidents</w:t>
            </w:r>
          </w:p>
        </w:tc>
        <w:tc>
          <w:tcPr>
            <w:tcW w:type="dxa" w:w="3760"/>
            <w:tcMar>
              <w:top w:w="80" w:type="dxa"/>
              <w:start w:w="120" w:type="dxa"/>
              <w:bottom w:w="80" w:type="dxa"/>
              <w:end w:w="120" w:type="dxa"/>
            </w:tcMar>
            <w:vAlign w:val="center"/>
          </w:tcPr>
          <w:p>
            <w:pPr>
              <w:spacing w:after="40"/>
            </w:pPr>
            <w:r>
              <w:rPr>
                <w:sz w:val="18"/>
              </w:rPr>
              <w:t>No raw conversation text in product analytics</w:t>
            </w:r>
          </w:p>
        </w:tc>
      </w:tr>
      <w:tr>
        <w:trPr>
          <w:cantSplit/>
        </w:trPr>
        <w:tc>
          <w:tcPr>
            <w:tcW w:type="dxa" w:w="2000"/>
            <w:tcMar>
              <w:top w:w="80" w:type="dxa"/>
              <w:start w:w="120" w:type="dxa"/>
              <w:bottom w:w="80" w:type="dxa"/>
              <w:end w:w="120" w:type="dxa"/>
            </w:tcMar>
            <w:vAlign w:val="center"/>
          </w:tcPr>
          <w:p>
            <w:pPr>
              <w:spacing w:after="40"/>
            </w:pPr>
            <w:r>
              <w:rPr>
                <w:sz w:val="18"/>
              </w:rPr>
              <w:t>Retention</w:t>
            </w:r>
          </w:p>
        </w:tc>
        <w:tc>
          <w:tcPr>
            <w:tcW w:type="dxa" w:w="3600"/>
            <w:tcMar>
              <w:top w:w="80" w:type="dxa"/>
              <w:start w:w="120" w:type="dxa"/>
              <w:bottom w:w="80" w:type="dxa"/>
              <w:end w:w="120" w:type="dxa"/>
            </w:tcMar>
            <w:vAlign w:val="center"/>
          </w:tcPr>
          <w:p>
            <w:pPr>
              <w:spacing w:after="40"/>
            </w:pPr>
            <w:r>
              <w:rPr>
                <w:sz w:val="18"/>
              </w:rPr>
              <w:t>Week-1 and week-4 return by domain</w:t>
            </w:r>
          </w:p>
        </w:tc>
        <w:tc>
          <w:tcPr>
            <w:tcW w:type="dxa" w:w="3760"/>
            <w:tcMar>
              <w:top w:w="80" w:type="dxa"/>
              <w:start w:w="120" w:type="dxa"/>
              <w:bottom w:w="80" w:type="dxa"/>
              <w:end w:w="120" w:type="dxa"/>
            </w:tcMar>
            <w:vAlign w:val="center"/>
          </w:tcPr>
          <w:p>
            <w:pPr>
              <w:spacing w:after="40"/>
            </w:pPr>
            <w:r>
              <w:rPr>
                <w:sz w:val="18"/>
              </w:rPr>
              <w:t>Do not combine channels and companions into one misleading metric</w:t>
            </w:r>
          </w:p>
        </w:tc>
      </w:tr>
      <w:tr>
        <w:trPr>
          <w:cantSplit/>
        </w:trPr>
        <w:tc>
          <w:tcPr>
            <w:tcW w:type="dxa" w:w="2000"/>
            <w:tcMar>
              <w:top w:w="80" w:type="dxa"/>
              <w:start w:w="120" w:type="dxa"/>
              <w:bottom w:w="80" w:type="dxa"/>
              <w:end w:w="120" w:type="dxa"/>
            </w:tcMar>
            <w:vAlign w:val="center"/>
          </w:tcPr>
          <w:p>
            <w:pPr>
              <w:spacing w:after="40"/>
            </w:pPr>
            <w:r>
              <w:rPr>
                <w:sz w:val="18"/>
              </w:rPr>
              <w:t>Unit economics</w:t>
            </w:r>
          </w:p>
        </w:tc>
        <w:tc>
          <w:tcPr>
            <w:tcW w:type="dxa" w:w="3600"/>
            <w:tcMar>
              <w:top w:w="80" w:type="dxa"/>
              <w:start w:w="120" w:type="dxa"/>
              <w:bottom w:w="80" w:type="dxa"/>
              <w:end w:w="120" w:type="dxa"/>
            </w:tcMar>
            <w:vAlign w:val="center"/>
          </w:tcPr>
          <w:p>
            <w:pPr>
              <w:spacing w:after="40"/>
            </w:pPr>
            <w:r>
              <w:rPr>
                <w:sz w:val="18"/>
              </w:rPr>
              <w:t>Provider + compute + storage + delivery cost / successful active user</w:t>
            </w:r>
          </w:p>
        </w:tc>
        <w:tc>
          <w:tcPr>
            <w:tcW w:type="dxa" w:w="3760"/>
            <w:tcMar>
              <w:top w:w="80" w:type="dxa"/>
              <w:start w:w="120" w:type="dxa"/>
              <w:bottom w:w="80" w:type="dxa"/>
              <w:end w:w="120" w:type="dxa"/>
            </w:tcMar>
            <w:vAlign w:val="center"/>
          </w:tcPr>
          <w:p>
            <w:pPr>
              <w:spacing w:after="40"/>
            </w:pPr>
            <w:r>
              <w:rPr>
                <w:sz w:val="18"/>
              </w:rPr>
              <w:t>Alert before budget threshold</w:t>
            </w:r>
          </w:p>
        </w:tc>
      </w:tr>
    </w:tbl>
    <w:p>
      <w:pPr>
        <w:pStyle w:val="Heading2"/>
        <w:keepNext/>
      </w:pPr>
      <w:r>
        <w:t>Test strategy</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1900"/>
        <w:gridCol w:w="7460"/>
      </w:tblGrid>
      <w:tr>
        <w:trPr>
          <w:tblHeader w:val="true"/>
          <w:cantSplit/>
        </w:trPr>
        <w:tc>
          <w:tcPr>
            <w:tcW w:type="dxa" w:w="1900"/>
            <w:tcMar>
              <w:top w:w="80" w:type="dxa"/>
              <w:start w:w="120" w:type="dxa"/>
              <w:bottom w:w="80" w:type="dxa"/>
              <w:end w:w="120" w:type="dxa"/>
            </w:tcMar>
            <w:vAlign w:val="center"/>
            <w:shd w:fill="003B36"/>
          </w:tcPr>
          <w:p>
            <w:r>
              <w:rPr>
                <w:b/>
                <w:color w:val="FFFFFF"/>
                <w:sz w:val="18"/>
              </w:rPr>
              <w:t>Layer</w:t>
            </w:r>
          </w:p>
        </w:tc>
        <w:tc>
          <w:tcPr>
            <w:tcW w:type="dxa" w:w="7460"/>
            <w:tcMar>
              <w:top w:w="80" w:type="dxa"/>
              <w:start w:w="120" w:type="dxa"/>
              <w:bottom w:w="80" w:type="dxa"/>
              <w:end w:w="120" w:type="dxa"/>
            </w:tcMar>
            <w:vAlign w:val="center"/>
            <w:shd w:fill="003B36"/>
          </w:tcPr>
          <w:p>
            <w:r>
              <w:rPr>
                <w:b/>
                <w:color w:val="FFFFFF"/>
                <w:sz w:val="18"/>
              </w:rPr>
              <w:t>Required evidence</w:t>
            </w:r>
          </w:p>
        </w:tc>
      </w:tr>
      <w:tr>
        <w:trPr>
          <w:cantSplit/>
        </w:trPr>
        <w:tc>
          <w:tcPr>
            <w:tcW w:type="dxa" w:w="1900"/>
            <w:tcMar>
              <w:top w:w="80" w:type="dxa"/>
              <w:start w:w="120" w:type="dxa"/>
              <w:bottom w:w="80" w:type="dxa"/>
              <w:end w:w="120" w:type="dxa"/>
            </w:tcMar>
            <w:vAlign w:val="center"/>
          </w:tcPr>
          <w:p>
            <w:pPr>
              <w:spacing w:after="40"/>
            </w:pPr>
            <w:r>
              <w:rPr>
                <w:sz w:val="18"/>
              </w:rPr>
              <w:t>Contract</w:t>
            </w:r>
          </w:p>
        </w:tc>
        <w:tc>
          <w:tcPr>
            <w:tcW w:type="dxa" w:w="7460"/>
            <w:tcMar>
              <w:top w:w="80" w:type="dxa"/>
              <w:start w:w="120" w:type="dxa"/>
              <w:bottom w:w="80" w:type="dxa"/>
              <w:end w:w="120" w:type="dxa"/>
            </w:tcMar>
            <w:vAlign w:val="center"/>
          </w:tcPr>
          <w:p>
            <w:pPr>
              <w:spacing w:after="40"/>
            </w:pPr>
            <w:r>
              <w:rPr>
                <w:sz w:val="18"/>
              </w:rPr>
              <w:t>Provider media, translation language codes, API schemas, OIDC claims, webhook signatures.</w:t>
            </w:r>
          </w:p>
        </w:tc>
      </w:tr>
      <w:tr>
        <w:trPr>
          <w:cantSplit/>
        </w:trPr>
        <w:tc>
          <w:tcPr>
            <w:tcW w:type="dxa" w:w="1900"/>
            <w:tcMar>
              <w:top w:w="80" w:type="dxa"/>
              <w:start w:w="120" w:type="dxa"/>
              <w:bottom w:w="80" w:type="dxa"/>
              <w:end w:w="120" w:type="dxa"/>
            </w:tcMar>
            <w:vAlign w:val="center"/>
          </w:tcPr>
          <w:p>
            <w:pPr>
              <w:spacing w:after="40"/>
            </w:pPr>
            <w:r>
              <w:rPr>
                <w:sz w:val="18"/>
              </w:rPr>
              <w:t>Domain</w:t>
            </w:r>
          </w:p>
        </w:tc>
        <w:tc>
          <w:tcPr>
            <w:tcW w:type="dxa" w:w="7460"/>
            <w:tcMar>
              <w:top w:w="80" w:type="dxa"/>
              <w:start w:w="120" w:type="dxa"/>
              <w:bottom w:w="80" w:type="dxa"/>
              <w:end w:w="120" w:type="dxa"/>
            </w:tcMar>
            <w:vAlign w:val="center"/>
          </w:tcPr>
          <w:p>
            <w:pPr>
              <w:spacing w:after="40"/>
            </w:pPr>
            <w:r>
              <w:rPr>
                <w:sz w:val="18"/>
              </w:rPr>
              <w:t>Idempotency, ownership, consent separation, disclosure/age gates, block/report/export/delete, safety rejection.</w:t>
            </w:r>
          </w:p>
        </w:tc>
      </w:tr>
      <w:tr>
        <w:trPr>
          <w:cantSplit/>
        </w:trPr>
        <w:tc>
          <w:tcPr>
            <w:tcW w:type="dxa" w:w="1900"/>
            <w:tcMar>
              <w:top w:w="80" w:type="dxa"/>
              <w:start w:w="120" w:type="dxa"/>
              <w:bottom w:w="80" w:type="dxa"/>
              <w:end w:w="120" w:type="dxa"/>
            </w:tcMar>
            <w:vAlign w:val="center"/>
          </w:tcPr>
          <w:p>
            <w:pPr>
              <w:spacing w:after="40"/>
            </w:pPr>
            <w:r>
              <w:rPr>
                <w:sz w:val="18"/>
              </w:rPr>
              <w:t>Media</w:t>
            </w:r>
          </w:p>
        </w:tc>
        <w:tc>
          <w:tcPr>
            <w:tcW w:type="dxa" w:w="7460"/>
            <w:tcMar>
              <w:top w:w="80" w:type="dxa"/>
              <w:start w:w="120" w:type="dxa"/>
              <w:bottom w:w="80" w:type="dxa"/>
              <w:end w:w="120" w:type="dxa"/>
            </w:tcMar>
            <w:vAlign w:val="center"/>
          </w:tcPr>
          <w:p>
            <w:pPr>
              <w:spacing w:after="40"/>
            </w:pPr>
            <w:r>
              <w:rPr>
                <w:sz w:val="18"/>
              </w:rPr>
              <w:t>ffprobe/golden Ogg/Opus validation, corrupt inputs, duration/size/checksum, Android playback/share matrix.</w:t>
            </w:r>
          </w:p>
        </w:tc>
      </w:tr>
      <w:tr>
        <w:trPr>
          <w:cantSplit/>
        </w:trPr>
        <w:tc>
          <w:tcPr>
            <w:tcW w:type="dxa" w:w="1900"/>
            <w:tcMar>
              <w:top w:w="80" w:type="dxa"/>
              <w:start w:w="120" w:type="dxa"/>
              <w:bottom w:w="80" w:type="dxa"/>
              <w:end w:w="120" w:type="dxa"/>
            </w:tcMar>
            <w:vAlign w:val="center"/>
          </w:tcPr>
          <w:p>
            <w:pPr>
              <w:spacing w:after="40"/>
            </w:pPr>
            <w:r>
              <w:rPr>
                <w:sz w:val="18"/>
              </w:rPr>
              <w:t>Integration</w:t>
            </w:r>
          </w:p>
        </w:tc>
        <w:tc>
          <w:tcPr>
            <w:tcW w:type="dxa" w:w="7460"/>
            <w:tcMar>
              <w:top w:w="80" w:type="dxa"/>
              <w:start w:w="120" w:type="dxa"/>
              <w:bottom w:w="80" w:type="dxa"/>
              <w:end w:w="120" w:type="dxa"/>
            </w:tcMar>
            <w:vAlign w:val="center"/>
          </w:tcPr>
          <w:p>
            <w:pPr>
              <w:spacing w:after="40"/>
            </w:pPr>
            <w:r>
              <w:rPr>
                <w:sz w:val="18"/>
              </w:rPr>
              <w:t>API → queue → provider → storage → outbox → feed/delivery; replay and partial failure.</w:t>
            </w:r>
          </w:p>
        </w:tc>
      </w:tr>
      <w:tr>
        <w:trPr>
          <w:cantSplit/>
        </w:trPr>
        <w:tc>
          <w:tcPr>
            <w:tcW w:type="dxa" w:w="1900"/>
            <w:tcMar>
              <w:top w:w="80" w:type="dxa"/>
              <w:start w:w="120" w:type="dxa"/>
              <w:bottom w:w="80" w:type="dxa"/>
              <w:end w:w="120" w:type="dxa"/>
            </w:tcMar>
            <w:vAlign w:val="center"/>
          </w:tcPr>
          <w:p>
            <w:pPr>
              <w:spacing w:after="40"/>
            </w:pPr>
            <w:r>
              <w:rPr>
                <w:sz w:val="18"/>
              </w:rPr>
              <w:t>Language</w:t>
            </w:r>
          </w:p>
        </w:tc>
        <w:tc>
          <w:tcPr>
            <w:tcW w:type="dxa" w:w="7460"/>
            <w:tcMar>
              <w:top w:w="80" w:type="dxa"/>
              <w:start w:w="120" w:type="dxa"/>
              <w:bottom w:w="80" w:type="dxa"/>
              <w:end w:w="120" w:type="dxa"/>
            </w:tcMar>
            <w:vAlign w:val="center"/>
          </w:tcPr>
          <w:p>
            <w:pPr>
              <w:spacing w:after="40"/>
            </w:pPr>
            <w:r>
              <w:rPr>
                <w:sz w:val="18"/>
              </w:rPr>
              <w:t>Native-review corpus for intelligibility, pronunciation, naturalness, code-switching, translation harm.</w:t>
            </w:r>
          </w:p>
        </w:tc>
      </w:tr>
      <w:tr>
        <w:trPr>
          <w:cantSplit/>
        </w:trPr>
        <w:tc>
          <w:tcPr>
            <w:tcW w:type="dxa" w:w="1900"/>
            <w:tcMar>
              <w:top w:w="80" w:type="dxa"/>
              <w:start w:w="120" w:type="dxa"/>
              <w:bottom w:w="80" w:type="dxa"/>
              <w:end w:w="120" w:type="dxa"/>
            </w:tcMar>
            <w:vAlign w:val="center"/>
          </w:tcPr>
          <w:p>
            <w:pPr>
              <w:spacing w:after="40"/>
            </w:pPr>
            <w:r>
              <w:rPr>
                <w:sz w:val="18"/>
              </w:rPr>
              <w:t>Safety</w:t>
            </w:r>
          </w:p>
        </w:tc>
        <w:tc>
          <w:tcPr>
            <w:tcW w:type="dxa" w:w="7460"/>
            <w:tcMar>
              <w:top w:w="80" w:type="dxa"/>
              <w:start w:w="120" w:type="dxa"/>
              <w:bottom w:w="80" w:type="dxa"/>
              <w:end w:w="120" w:type="dxa"/>
            </w:tcMar>
            <w:vAlign w:val="center"/>
          </w:tcPr>
          <w:p>
            <w:pPr>
              <w:spacing w:after="40"/>
            </w:pPr>
            <w:r>
              <w:rPr>
                <w:sz w:val="18"/>
              </w:rPr>
              <w:t>Multilingual adversarial companion evaluation covering dependency, exclusivity, coercion, isolation, and evasion.</w:t>
            </w:r>
          </w:p>
        </w:tc>
      </w:tr>
      <w:tr>
        <w:trPr>
          <w:cantSplit/>
        </w:trPr>
        <w:tc>
          <w:tcPr>
            <w:tcW w:type="dxa" w:w="1900"/>
            <w:tcMar>
              <w:top w:w="80" w:type="dxa"/>
              <w:start w:w="120" w:type="dxa"/>
              <w:bottom w:w="80" w:type="dxa"/>
              <w:end w:w="120" w:type="dxa"/>
            </w:tcMar>
            <w:vAlign w:val="center"/>
          </w:tcPr>
          <w:p>
            <w:pPr>
              <w:spacing w:after="40"/>
            </w:pPr>
            <w:r>
              <w:rPr>
                <w:sz w:val="18"/>
              </w:rPr>
              <w:t>Operations</w:t>
            </w:r>
          </w:p>
        </w:tc>
        <w:tc>
          <w:tcPr>
            <w:tcW w:type="dxa" w:w="7460"/>
            <w:tcMar>
              <w:top w:w="80" w:type="dxa"/>
              <w:start w:w="120" w:type="dxa"/>
              <w:bottom w:w="80" w:type="dxa"/>
              <w:end w:w="120" w:type="dxa"/>
            </w:tcMar>
            <w:vAlign w:val="center"/>
          </w:tcPr>
          <w:p>
            <w:pPr>
              <w:spacing w:after="40"/>
            </w:pPr>
            <w:r>
              <w:rPr>
                <w:sz w:val="18"/>
              </w:rPr>
              <w:t>Load, provider outage, queue backlog, backup restore, key rotation, invalid webhook, STOP, takedown.</w:t>
            </w:r>
          </w:p>
        </w:tc>
      </w:tr>
      <w:tr>
        <w:trPr>
          <w:cantSplit/>
        </w:trPr>
        <w:tc>
          <w:tcPr>
            <w:tcW w:type="dxa" w:w="1900"/>
            <w:tcMar>
              <w:top w:w="80" w:type="dxa"/>
              <w:start w:w="120" w:type="dxa"/>
              <w:bottom w:w="80" w:type="dxa"/>
              <w:end w:w="120" w:type="dxa"/>
            </w:tcMar>
            <w:vAlign w:val="center"/>
          </w:tcPr>
          <w:p>
            <w:pPr>
              <w:spacing w:after="40"/>
            </w:pPr>
            <w:r>
              <w:rPr>
                <w:sz w:val="18"/>
              </w:rPr>
              <w:t>Release</w:t>
            </w:r>
          </w:p>
        </w:tc>
        <w:tc>
          <w:tcPr>
            <w:tcW w:type="dxa" w:w="7460"/>
            <w:tcMar>
              <w:top w:w="80" w:type="dxa"/>
              <w:start w:w="120" w:type="dxa"/>
              <w:bottom w:w="80" w:type="dxa"/>
              <w:end w:w="120" w:type="dxa"/>
            </w:tcMar>
            <w:vAlign w:val="center"/>
          </w:tcPr>
          <w:p>
            <w:pPr>
              <w:spacing w:after="40"/>
            </w:pPr>
            <w:r>
              <w:rPr>
                <w:sz w:val="18"/>
              </w:rPr>
              <w:t>Android 8-15 target matrix, offline/poor network, accessibility, signing, store declarations, staged rollout/rollback.</w:t>
            </w:r>
          </w:p>
        </w:tc>
      </w:tr>
    </w:tbl>
    <w:p>
      <w:pPr>
        <w:pStyle w:val="Heading1"/>
        <w:keepNext/>
      </w:pPr>
      <w:r>
        <w:t>9. Delivery milestones</w:t>
      </w:r>
    </w:p>
    <w:p>
      <w:r>
        <w:t>Milestones are ordered delivery gates, not calendar commitments. The Excel workbook contains the live epic and story plan, derived progress formulas, dependencies, and release-gate register.</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600"/>
        <w:gridCol w:w="2200"/>
        <w:gridCol w:w="3080"/>
        <w:gridCol w:w="3480"/>
      </w:tblGrid>
      <w:tr>
        <w:trPr>
          <w:tblHeader w:val="true"/>
          <w:cantSplit/>
        </w:trPr>
        <w:tc>
          <w:tcPr>
            <w:tcW w:type="dxa" w:w="600"/>
            <w:tcMar>
              <w:top w:w="80" w:type="dxa"/>
              <w:start w:w="120" w:type="dxa"/>
              <w:bottom w:w="80" w:type="dxa"/>
              <w:end w:w="120" w:type="dxa"/>
            </w:tcMar>
            <w:vAlign w:val="center"/>
            <w:shd w:fill="003B36"/>
          </w:tcPr>
          <w:p>
            <w:r>
              <w:rPr>
                <w:b/>
                <w:color w:val="FFFFFF"/>
                <w:sz w:val="18"/>
              </w:rPr>
              <w:t>ID</w:t>
            </w:r>
          </w:p>
        </w:tc>
        <w:tc>
          <w:tcPr>
            <w:tcW w:type="dxa" w:w="2200"/>
            <w:tcMar>
              <w:top w:w="80" w:type="dxa"/>
              <w:start w:w="120" w:type="dxa"/>
              <w:bottom w:w="80" w:type="dxa"/>
              <w:end w:w="120" w:type="dxa"/>
            </w:tcMar>
            <w:vAlign w:val="center"/>
            <w:shd w:fill="003B36"/>
          </w:tcPr>
          <w:p>
            <w:r>
              <w:rPr>
                <w:b/>
                <w:color w:val="FFFFFF"/>
                <w:sz w:val="18"/>
              </w:rPr>
              <w:t>Milestone</w:t>
            </w:r>
          </w:p>
        </w:tc>
        <w:tc>
          <w:tcPr>
            <w:tcW w:type="dxa" w:w="3080"/>
            <w:tcMar>
              <w:top w:w="80" w:type="dxa"/>
              <w:start w:w="120" w:type="dxa"/>
              <w:bottom w:w="80" w:type="dxa"/>
              <w:end w:w="120" w:type="dxa"/>
            </w:tcMar>
            <w:vAlign w:val="center"/>
            <w:shd w:fill="003B36"/>
          </w:tcPr>
          <w:p>
            <w:r>
              <w:rPr>
                <w:b/>
                <w:color w:val="FFFFFF"/>
                <w:sz w:val="18"/>
              </w:rPr>
              <w:t>Outcome</w:t>
            </w:r>
          </w:p>
        </w:tc>
        <w:tc>
          <w:tcPr>
            <w:tcW w:type="dxa" w:w="3480"/>
            <w:tcMar>
              <w:top w:w="80" w:type="dxa"/>
              <w:start w:w="120" w:type="dxa"/>
              <w:bottom w:w="80" w:type="dxa"/>
              <w:end w:w="120" w:type="dxa"/>
            </w:tcMar>
            <w:vAlign w:val="center"/>
            <w:shd w:fill="003B36"/>
          </w:tcPr>
          <w:p>
            <w:r>
              <w:rPr>
                <w:b/>
                <w:color w:val="FFFFFF"/>
                <w:sz w:val="18"/>
              </w:rPr>
              <w:t>Exit gate</w:t>
            </w:r>
          </w:p>
        </w:tc>
      </w:tr>
      <w:tr>
        <w:trPr>
          <w:cantSplit/>
        </w:trPr>
        <w:tc>
          <w:tcPr>
            <w:tcW w:type="dxa" w:w="600"/>
            <w:tcMar>
              <w:top w:w="80" w:type="dxa"/>
              <w:start w:w="120" w:type="dxa"/>
              <w:bottom w:w="80" w:type="dxa"/>
              <w:end w:w="120" w:type="dxa"/>
            </w:tcMar>
            <w:vAlign w:val="center"/>
          </w:tcPr>
          <w:p>
            <w:pPr>
              <w:spacing w:after="40"/>
            </w:pPr>
            <w:r>
              <w:rPr>
                <w:sz w:val="18"/>
              </w:rPr>
              <w:t>M0</w:t>
            </w:r>
          </w:p>
        </w:tc>
        <w:tc>
          <w:tcPr>
            <w:tcW w:type="dxa" w:w="2200"/>
            <w:tcMar>
              <w:top w:w="80" w:type="dxa"/>
              <w:start w:w="120" w:type="dxa"/>
              <w:bottom w:w="80" w:type="dxa"/>
              <w:end w:w="120" w:type="dxa"/>
            </w:tcMar>
            <w:vAlign w:val="center"/>
          </w:tcPr>
          <w:p>
            <w:pPr>
              <w:spacing w:after="40"/>
            </w:pPr>
            <w:r>
              <w:rPr>
                <w:sz w:val="18"/>
              </w:rPr>
              <w:t>Product Baseline &amp; Architecture</w:t>
            </w:r>
          </w:p>
        </w:tc>
        <w:tc>
          <w:tcPr>
            <w:tcW w:type="dxa" w:w="3080"/>
            <w:tcMar>
              <w:top w:w="80" w:type="dxa"/>
              <w:start w:w="120" w:type="dxa"/>
              <w:bottom w:w="80" w:type="dxa"/>
              <w:end w:w="120" w:type="dxa"/>
            </w:tcMar>
            <w:vAlign w:val="center"/>
          </w:tcPr>
          <w:p>
            <w:pPr>
              <w:spacing w:after="40"/>
            </w:pPr>
            <w:r>
              <w:rPr>
                <w:sz w:val="18"/>
              </w:rPr>
              <w:t>A separate Voice Hub product with explicit domains, provider contracts, and a production delivery baseline.</w:t>
            </w:r>
          </w:p>
        </w:tc>
        <w:tc>
          <w:tcPr>
            <w:tcW w:type="dxa" w:w="3480"/>
            <w:tcMar>
              <w:top w:w="80" w:type="dxa"/>
              <w:start w:w="120" w:type="dxa"/>
              <w:bottom w:w="80" w:type="dxa"/>
              <w:end w:w="120" w:type="dxa"/>
            </w:tcMar>
            <w:vAlign w:val="center"/>
          </w:tcPr>
          <w:p>
            <w:pPr>
              <w:spacing w:after="40"/>
            </w:pPr>
            <w:r>
              <w:rPr>
                <w:sz w:val="18"/>
              </w:rPr>
              <w:t>Repository boundaries, product policy, API/domain contracts, and test baseline are approved.</w:t>
            </w:r>
          </w:p>
        </w:tc>
      </w:tr>
      <w:tr>
        <w:trPr>
          <w:cantSplit/>
        </w:trPr>
        <w:tc>
          <w:tcPr>
            <w:tcW w:type="dxa" w:w="600"/>
            <w:tcMar>
              <w:top w:w="80" w:type="dxa"/>
              <w:start w:w="120" w:type="dxa"/>
              <w:bottom w:w="80" w:type="dxa"/>
              <w:end w:w="120" w:type="dxa"/>
            </w:tcMar>
            <w:vAlign w:val="center"/>
          </w:tcPr>
          <w:p>
            <w:pPr>
              <w:spacing w:after="40"/>
            </w:pPr>
            <w:r>
              <w:rPr>
                <w:sz w:val="18"/>
              </w:rPr>
              <w:t>M1</w:t>
            </w:r>
          </w:p>
        </w:tc>
        <w:tc>
          <w:tcPr>
            <w:tcW w:type="dxa" w:w="2200"/>
            <w:tcMar>
              <w:top w:w="80" w:type="dxa"/>
              <w:start w:w="120" w:type="dxa"/>
              <w:bottom w:w="80" w:type="dxa"/>
              <w:end w:w="120" w:type="dxa"/>
            </w:tcMar>
            <w:vAlign w:val="center"/>
          </w:tcPr>
          <w:p>
            <w:pPr>
              <w:spacing w:after="40"/>
            </w:pPr>
            <w:r>
              <w:rPr>
                <w:sz w:val="18"/>
              </w:rPr>
              <w:t>Core Voice Note Creation</w:t>
            </w:r>
          </w:p>
        </w:tc>
        <w:tc>
          <w:tcPr>
            <w:tcW w:type="dxa" w:w="3080"/>
            <w:tcMar>
              <w:top w:w="80" w:type="dxa"/>
              <w:start w:w="120" w:type="dxa"/>
              <w:bottom w:w="80" w:type="dxa"/>
              <w:end w:w="120" w:type="dxa"/>
            </w:tcMar>
            <w:vAlign w:val="center"/>
          </w:tcPr>
          <w:p>
            <w:pPr>
              <w:spacing w:after="40"/>
            </w:pPr>
            <w:r>
              <w:rPr>
                <w:sz w:val="18"/>
              </w:rPr>
              <w:t>A signed-in user can create, preview, save, translate, and share a Nigerian-language voice note.</w:t>
            </w:r>
          </w:p>
        </w:tc>
        <w:tc>
          <w:tcPr>
            <w:tcW w:type="dxa" w:w="3480"/>
            <w:tcMar>
              <w:top w:w="80" w:type="dxa"/>
              <w:start w:w="120" w:type="dxa"/>
              <w:bottom w:w="80" w:type="dxa"/>
              <w:end w:w="120" w:type="dxa"/>
            </w:tcMar>
            <w:vAlign w:val="center"/>
          </w:tcPr>
          <w:p>
            <w:pPr>
              <w:spacing w:after="40"/>
            </w:pPr>
            <w:r>
              <w:rPr>
                <w:sz w:val="18"/>
              </w:rPr>
              <w:t>Five-language create flow passes device/provider, audio, offline, failure, and WhatsApp share acceptance tests.</w:t>
            </w:r>
          </w:p>
        </w:tc>
      </w:tr>
      <w:tr>
        <w:trPr>
          <w:cantSplit/>
        </w:trPr>
        <w:tc>
          <w:tcPr>
            <w:tcW w:type="dxa" w:w="600"/>
            <w:tcMar>
              <w:top w:w="80" w:type="dxa"/>
              <w:start w:w="120" w:type="dxa"/>
              <w:bottom w:w="80" w:type="dxa"/>
              <w:end w:w="120" w:type="dxa"/>
            </w:tcMar>
            <w:vAlign w:val="center"/>
          </w:tcPr>
          <w:p>
            <w:pPr>
              <w:spacing w:after="40"/>
            </w:pPr>
            <w:r>
              <w:rPr>
                <w:sz w:val="18"/>
              </w:rPr>
              <w:t>M2</w:t>
            </w:r>
          </w:p>
        </w:tc>
        <w:tc>
          <w:tcPr>
            <w:tcW w:type="dxa" w:w="2200"/>
            <w:tcMar>
              <w:top w:w="80" w:type="dxa"/>
              <w:start w:w="120" w:type="dxa"/>
              <w:bottom w:w="80" w:type="dxa"/>
              <w:end w:w="120" w:type="dxa"/>
            </w:tcMar>
            <w:vAlign w:val="center"/>
          </w:tcPr>
          <w:p>
            <w:pPr>
              <w:spacing w:after="40"/>
            </w:pPr>
            <w:r>
              <w:rPr>
                <w:sz w:val="18"/>
              </w:rPr>
              <w:t>Editorial Voice Channels</w:t>
            </w:r>
          </w:p>
        </w:tc>
        <w:tc>
          <w:tcPr>
            <w:tcW w:type="dxa" w:w="3080"/>
            <w:tcMar>
              <w:top w:w="80" w:type="dxa"/>
              <w:start w:w="120" w:type="dxa"/>
              <w:bottom w:w="80" w:type="dxa"/>
              <w:end w:w="120" w:type="dxa"/>
            </w:tcMar>
            <w:vAlign w:val="center"/>
          </w:tcPr>
          <w:p>
            <w:pPr>
              <w:spacing w:after="40"/>
            </w:pPr>
            <w:r>
              <w:rPr>
                <w:sz w:val="18"/>
              </w:rPr>
              <w:t>People can follow reviewed gist, relationship, and jobs channels and opt in separately to WhatsApp delivery.</w:t>
            </w:r>
          </w:p>
        </w:tc>
        <w:tc>
          <w:tcPr>
            <w:tcW w:type="dxa" w:w="3480"/>
            <w:tcMar>
              <w:top w:w="80" w:type="dxa"/>
              <w:start w:w="120" w:type="dxa"/>
              <w:bottom w:w="80" w:type="dxa"/>
              <w:end w:w="120" w:type="dxa"/>
            </w:tcMar>
            <w:vAlign w:val="center"/>
          </w:tcPr>
          <w:p>
            <w:pPr>
              <w:spacing w:after="40"/>
            </w:pPr>
            <w:r>
              <w:rPr>
                <w:sz w:val="18"/>
              </w:rPr>
              <w:t>Editorial provenance, subscription consent, delivery reconciliation, opt-out, and takedown operations are production-ready.</w:t>
            </w:r>
          </w:p>
        </w:tc>
      </w:tr>
      <w:tr>
        <w:trPr>
          <w:cantSplit/>
        </w:trPr>
        <w:tc>
          <w:tcPr>
            <w:tcW w:type="dxa" w:w="600"/>
            <w:tcMar>
              <w:top w:w="80" w:type="dxa"/>
              <w:start w:w="120" w:type="dxa"/>
              <w:bottom w:w="80" w:type="dxa"/>
              <w:end w:w="120" w:type="dxa"/>
            </w:tcMar>
            <w:vAlign w:val="center"/>
          </w:tcPr>
          <w:p>
            <w:pPr>
              <w:spacing w:after="40"/>
            </w:pPr>
            <w:r>
              <w:rPr>
                <w:sz w:val="18"/>
              </w:rPr>
              <w:t>M3</w:t>
            </w:r>
          </w:p>
        </w:tc>
        <w:tc>
          <w:tcPr>
            <w:tcW w:type="dxa" w:w="2200"/>
            <w:tcMar>
              <w:top w:w="80" w:type="dxa"/>
              <w:start w:w="120" w:type="dxa"/>
              <w:bottom w:w="80" w:type="dxa"/>
              <w:end w:w="120" w:type="dxa"/>
            </w:tcMar>
            <w:vAlign w:val="center"/>
          </w:tcPr>
          <w:p>
            <w:pPr>
              <w:spacing w:after="40"/>
            </w:pPr>
            <w:r>
              <w:rPr>
                <w:sz w:val="18"/>
              </w:rPr>
              <w:t>Private AI Companions</w:t>
            </w:r>
          </w:p>
        </w:tc>
        <w:tc>
          <w:tcPr>
            <w:tcW w:type="dxa" w:w="3080"/>
            <w:tcMar>
              <w:top w:w="80" w:type="dxa"/>
              <w:start w:w="120" w:type="dxa"/>
              <w:bottom w:w="80" w:type="dxa"/>
              <w:end w:w="120" w:type="dxa"/>
            </w:tcMar>
            <w:vAlign w:val="center"/>
          </w:tcPr>
          <w:p>
            <w:pPr>
              <w:spacing w:after="40"/>
            </w:pPr>
            <w:r>
              <w:rPr>
                <w:sz w:val="18"/>
              </w:rPr>
              <w:t>Adults can use clearly disclosed fictional companions in private conversations with strong safety and data controls.</w:t>
            </w:r>
          </w:p>
        </w:tc>
        <w:tc>
          <w:tcPr>
            <w:tcW w:type="dxa" w:w="3480"/>
            <w:tcMar>
              <w:top w:w="80" w:type="dxa"/>
              <w:start w:w="120" w:type="dxa"/>
              <w:bottom w:w="80" w:type="dxa"/>
              <w:end w:w="120" w:type="dxa"/>
            </w:tcMar>
            <w:vAlign w:val="center"/>
          </w:tcPr>
          <w:p>
            <w:pPr>
              <w:spacing w:after="40"/>
            </w:pPr>
            <w:r>
              <w:rPr>
                <w:sz w:val="18"/>
              </w:rPr>
              <w:t>Age/disclosure gates, semantic safety, private authorization, block/report, export, and deletion pass adversarial testing.</w:t>
            </w:r>
          </w:p>
        </w:tc>
      </w:tr>
      <w:tr>
        <w:trPr>
          <w:cantSplit/>
        </w:trPr>
        <w:tc>
          <w:tcPr>
            <w:tcW w:type="dxa" w:w="600"/>
            <w:tcMar>
              <w:top w:w="80" w:type="dxa"/>
              <w:start w:w="120" w:type="dxa"/>
              <w:bottom w:w="80" w:type="dxa"/>
              <w:end w:w="120" w:type="dxa"/>
            </w:tcMar>
            <w:vAlign w:val="center"/>
          </w:tcPr>
          <w:p>
            <w:pPr>
              <w:spacing w:after="40"/>
            </w:pPr>
            <w:r>
              <w:rPr>
                <w:sz w:val="18"/>
              </w:rPr>
              <w:t>M4</w:t>
            </w:r>
          </w:p>
        </w:tc>
        <w:tc>
          <w:tcPr>
            <w:tcW w:type="dxa" w:w="2200"/>
            <w:tcMar>
              <w:top w:w="80" w:type="dxa"/>
              <w:start w:w="120" w:type="dxa"/>
              <w:bottom w:w="80" w:type="dxa"/>
              <w:end w:w="120" w:type="dxa"/>
            </w:tcMar>
            <w:vAlign w:val="center"/>
          </w:tcPr>
          <w:p>
            <w:pPr>
              <w:spacing w:after="40"/>
            </w:pPr>
            <w:r>
              <w:rPr>
                <w:sz w:val="18"/>
              </w:rPr>
              <w:t>Cloud Production &amp; Trust</w:t>
            </w:r>
          </w:p>
        </w:tc>
        <w:tc>
          <w:tcPr>
            <w:tcW w:type="dxa" w:w="3080"/>
            <w:tcMar>
              <w:top w:w="80" w:type="dxa"/>
              <w:start w:w="120" w:type="dxa"/>
              <w:bottom w:w="80" w:type="dxa"/>
              <w:end w:w="120" w:type="dxa"/>
            </w:tcMar>
            <w:vAlign w:val="center"/>
          </w:tcPr>
          <w:p>
            <w:pPr>
              <w:spacing w:after="40"/>
            </w:pPr>
            <w:r>
              <w:rPr>
                <w:sz w:val="18"/>
              </w:rPr>
              <w:t>The service runs reliably and affordably on Cloudflare-compatible infrastructure with production identity and operations.</w:t>
            </w:r>
          </w:p>
        </w:tc>
        <w:tc>
          <w:tcPr>
            <w:tcW w:type="dxa" w:w="3480"/>
            <w:tcMar>
              <w:top w:w="80" w:type="dxa"/>
              <w:start w:w="120" w:type="dxa"/>
              <w:bottom w:w="80" w:type="dxa"/>
              <w:end w:w="120" w:type="dxa"/>
            </w:tcMar>
            <w:vAlign w:val="center"/>
          </w:tcPr>
          <w:p>
            <w:pPr>
              <w:spacing w:after="40"/>
            </w:pPr>
            <w:r>
              <w:rPr>
                <w:sz w:val="18"/>
              </w:rPr>
              <w:t>Production auth, storage, queues, observability, security review, backups, and cost alarms are verified under load.</w:t>
            </w:r>
          </w:p>
        </w:tc>
      </w:tr>
      <w:tr>
        <w:trPr>
          <w:cantSplit/>
        </w:trPr>
        <w:tc>
          <w:tcPr>
            <w:tcW w:type="dxa" w:w="600"/>
            <w:tcMar>
              <w:top w:w="80" w:type="dxa"/>
              <w:start w:w="120" w:type="dxa"/>
              <w:bottom w:w="80" w:type="dxa"/>
              <w:end w:w="120" w:type="dxa"/>
            </w:tcMar>
            <w:vAlign w:val="center"/>
          </w:tcPr>
          <w:p>
            <w:pPr>
              <w:spacing w:after="40"/>
            </w:pPr>
            <w:r>
              <w:rPr>
                <w:sz w:val="18"/>
              </w:rPr>
              <w:t>M5</w:t>
            </w:r>
          </w:p>
        </w:tc>
        <w:tc>
          <w:tcPr>
            <w:tcW w:type="dxa" w:w="2200"/>
            <w:tcMar>
              <w:top w:w="80" w:type="dxa"/>
              <w:start w:w="120" w:type="dxa"/>
              <w:bottom w:w="80" w:type="dxa"/>
              <w:end w:w="120" w:type="dxa"/>
            </w:tcMar>
            <w:vAlign w:val="center"/>
          </w:tcPr>
          <w:p>
            <w:pPr>
              <w:spacing w:after="40"/>
            </w:pPr>
            <w:r>
              <w:rPr>
                <w:sz w:val="18"/>
              </w:rPr>
              <w:t>Beta, Launch &amp; Growth</w:t>
            </w:r>
          </w:p>
        </w:tc>
        <w:tc>
          <w:tcPr>
            <w:tcW w:type="dxa" w:w="3080"/>
            <w:tcMar>
              <w:top w:w="80" w:type="dxa"/>
              <w:start w:w="120" w:type="dxa"/>
              <w:bottom w:w="80" w:type="dxa"/>
              <w:end w:w="120" w:type="dxa"/>
            </w:tcMar>
            <w:vAlign w:val="center"/>
          </w:tcPr>
          <w:p>
            <w:pPr>
              <w:spacing w:after="40"/>
            </w:pPr>
            <w:r>
              <w:rPr>
                <w:sz w:val="18"/>
              </w:rPr>
              <w:t>A measurable closed beta graduates through documented quality, store, support, and product-health gates.</w:t>
            </w:r>
          </w:p>
        </w:tc>
        <w:tc>
          <w:tcPr>
            <w:tcW w:type="dxa" w:w="3480"/>
            <w:tcMar>
              <w:top w:w="80" w:type="dxa"/>
              <w:start w:w="120" w:type="dxa"/>
              <w:bottom w:w="80" w:type="dxa"/>
              <w:end w:w="120" w:type="dxa"/>
            </w:tcMar>
            <w:vAlign w:val="center"/>
          </w:tcPr>
          <w:p>
            <w:pPr>
              <w:spacing w:after="40"/>
            </w:pPr>
            <w:r>
              <w:rPr>
                <w:sz w:val="18"/>
              </w:rPr>
              <w:t>Language quality, crash-free use, latency, safety, consent, support, and Play release thresholds are met.</w:t>
            </w:r>
          </w:p>
        </w:tc>
      </w:tr>
    </w:tbl>
    <w:p>
      <w:pPr>
        <w:pStyle w:val="Heading2"/>
        <w:keepNext/>
      </w:pPr>
      <w:r>
        <w:t>External and open dependencies</w:t>
      </w:r>
    </w:p>
    <w:p>
      <w:pPr>
        <w:pStyle w:val="ListBullet"/>
      </w:pPr>
      <w:r>
        <w:t>Firebase/OIDC project configuration and Android registration.</w:t>
      </w:r>
    </w:p>
    <w:p>
      <w:pPr>
        <w:pStyle w:val="ListBullet"/>
      </w:pPr>
      <w:r>
        <w:t>Production Spitch credentials and native-review sign-off; production Intron/YarnGPT credentials only for approved profiles.</w:t>
      </w:r>
    </w:p>
    <w:p>
      <w:pPr>
        <w:pStyle w:val="ListBullet"/>
      </w:pPr>
      <w:r>
        <w:t>Verified Meta business and WABA, approved templates, and public signed webhook endpoint.</w:t>
      </w:r>
    </w:p>
    <w:p>
      <w:pPr>
        <w:pStyle w:val="ListBullet"/>
      </w:pPr>
      <w:r>
        <w:t>Cloudflare production account plus an explicit decision to port PostgreSQL contracts to D1 or retain a managed PostgreSQL system of record.</w:t>
      </w:r>
    </w:p>
    <w:p>
      <w:pPr>
        <w:pStyle w:val="ListBullet"/>
      </w:pPr>
      <w:r>
        <w:t>Selected companion response model, semantic safety classifier, age-assurance policy, and adversarial multilingual evaluation set.</w:t>
      </w:r>
    </w:p>
    <w:p>
      <w:pPr>
        <w:pStyle w:val="ListBullet"/>
      </w:pPr>
      <w:r>
        <w:t>Named editorial, privacy, trust-and-safety, and on-call owners with tested runbooks.</w:t>
      </w:r>
    </w:p>
    <w:p>
      <w:pPr>
        <w:pStyle w:val="Heading2"/>
        <w:keepNext/>
      </w:pPr>
      <w:r>
        <w:t>Risks and mitigations</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2600"/>
        <w:gridCol w:w="6760"/>
      </w:tblGrid>
      <w:tr>
        <w:trPr>
          <w:tblHeader w:val="true"/>
          <w:cantSplit/>
        </w:trPr>
        <w:tc>
          <w:tcPr>
            <w:tcW w:type="dxa" w:w="2600"/>
            <w:tcMar>
              <w:top w:w="80" w:type="dxa"/>
              <w:start w:w="120" w:type="dxa"/>
              <w:bottom w:w="80" w:type="dxa"/>
              <w:end w:w="120" w:type="dxa"/>
            </w:tcMar>
            <w:vAlign w:val="center"/>
            <w:shd w:fill="003B36"/>
          </w:tcPr>
          <w:p>
            <w:r>
              <w:rPr>
                <w:b/>
                <w:color w:val="FFFFFF"/>
                <w:sz w:val="18"/>
              </w:rPr>
              <w:t>Risk</w:t>
            </w:r>
          </w:p>
        </w:tc>
        <w:tc>
          <w:tcPr>
            <w:tcW w:type="dxa" w:w="6760"/>
            <w:tcMar>
              <w:top w:w="80" w:type="dxa"/>
              <w:start w:w="120" w:type="dxa"/>
              <w:bottom w:w="80" w:type="dxa"/>
              <w:end w:w="120" w:type="dxa"/>
            </w:tcMar>
            <w:vAlign w:val="center"/>
            <w:shd w:fill="003B36"/>
          </w:tcPr>
          <w:p>
            <w:r>
              <w:rPr>
                <w:b/>
                <w:color w:val="FFFFFF"/>
                <w:sz w:val="18"/>
              </w:rPr>
              <w:t>Mitigation</w:t>
            </w:r>
          </w:p>
        </w:tc>
      </w:tr>
      <w:tr>
        <w:trPr>
          <w:cantSplit/>
        </w:trPr>
        <w:tc>
          <w:tcPr>
            <w:tcW w:type="dxa" w:w="2600"/>
            <w:tcMar>
              <w:top w:w="80" w:type="dxa"/>
              <w:start w:w="120" w:type="dxa"/>
              <w:bottom w:w="80" w:type="dxa"/>
              <w:end w:w="120" w:type="dxa"/>
            </w:tcMar>
            <w:vAlign w:val="center"/>
          </w:tcPr>
          <w:p>
            <w:pPr>
              <w:spacing w:after="40"/>
            </w:pPr>
            <w:r>
              <w:rPr>
                <w:sz w:val="18"/>
              </w:rPr>
              <w:t>Device TTS varies</w:t>
            </w:r>
          </w:p>
        </w:tc>
        <w:tc>
          <w:tcPr>
            <w:tcW w:type="dxa" w:w="6760"/>
            <w:tcMar>
              <w:top w:w="80" w:type="dxa"/>
              <w:start w:w="120" w:type="dxa"/>
              <w:bottom w:w="80" w:type="dxa"/>
              <w:end w:w="120" w:type="dxa"/>
            </w:tcMar>
            <w:vAlign w:val="center"/>
          </w:tcPr>
          <w:p>
            <w:pPr>
              <w:spacing w:after="40"/>
            </w:pPr>
            <w:r>
              <w:rPr>
                <w:sz w:val="18"/>
              </w:rPr>
              <w:t>Detect capability, expose install/settings action, never silently fallback, offer consistent cloud mode.</w:t>
            </w:r>
          </w:p>
        </w:tc>
      </w:tr>
      <w:tr>
        <w:trPr>
          <w:cantSplit/>
        </w:trPr>
        <w:tc>
          <w:tcPr>
            <w:tcW w:type="dxa" w:w="2600"/>
            <w:tcMar>
              <w:top w:w="80" w:type="dxa"/>
              <w:start w:w="120" w:type="dxa"/>
              <w:bottom w:w="80" w:type="dxa"/>
              <w:end w:w="120" w:type="dxa"/>
            </w:tcMar>
            <w:vAlign w:val="center"/>
          </w:tcPr>
          <w:p>
            <w:pPr>
              <w:spacing w:after="40"/>
            </w:pPr>
            <w:r>
              <w:rPr>
                <w:sz w:val="18"/>
              </w:rPr>
              <w:t>Pidgin quality is uneven</w:t>
            </w:r>
          </w:p>
        </w:tc>
        <w:tc>
          <w:tcPr>
            <w:tcW w:type="dxa" w:w="6760"/>
            <w:tcMar>
              <w:top w:w="80" w:type="dxa"/>
              <w:start w:w="120" w:type="dxa"/>
              <w:bottom w:w="80" w:type="dxa"/>
              <w:end w:w="120" w:type="dxa"/>
            </w:tcMar>
            <w:vAlign w:val="center"/>
          </w:tcPr>
          <w:p>
            <w:pPr>
              <w:spacing w:after="40"/>
            </w:pPr>
            <w:r>
              <w:rPr>
                <w:sz w:val="18"/>
              </w:rPr>
              <w:t>Separate Pidgin from English; use editable translation preview; run native-speaker evaluation by provider/version.</w:t>
            </w:r>
          </w:p>
        </w:tc>
      </w:tr>
      <w:tr>
        <w:trPr>
          <w:cantSplit/>
        </w:trPr>
        <w:tc>
          <w:tcPr>
            <w:tcW w:type="dxa" w:w="2600"/>
            <w:tcMar>
              <w:top w:w="80" w:type="dxa"/>
              <w:start w:w="120" w:type="dxa"/>
              <w:bottom w:w="80" w:type="dxa"/>
              <w:end w:w="120" w:type="dxa"/>
            </w:tcMar>
            <w:vAlign w:val="center"/>
          </w:tcPr>
          <w:p>
            <w:pPr>
              <w:spacing w:after="40"/>
            </w:pPr>
            <w:r>
              <w:rPr>
                <w:sz w:val="18"/>
              </w:rPr>
              <w:t>Share intent is not a native voice bubble</w:t>
            </w:r>
          </w:p>
        </w:tc>
        <w:tc>
          <w:tcPr>
            <w:tcW w:type="dxa" w:w="6760"/>
            <w:tcMar>
              <w:top w:w="80" w:type="dxa"/>
              <w:start w:w="120" w:type="dxa"/>
              <w:bottom w:w="80" w:type="dxa"/>
              <w:end w:w="120" w:type="dxa"/>
            </w:tcMar>
            <w:vAlign w:val="center"/>
          </w:tcPr>
          <w:p>
            <w:pPr>
              <w:spacing w:after="40"/>
            </w:pPr>
            <w:r>
              <w:rPr>
                <w:sz w:val="18"/>
              </w:rPr>
              <w:t>Describe it as file sharing; use WhatsApp Cloud API only for consented automated delivery.</w:t>
            </w:r>
          </w:p>
        </w:tc>
      </w:tr>
      <w:tr>
        <w:trPr>
          <w:cantSplit/>
        </w:trPr>
        <w:tc>
          <w:tcPr>
            <w:tcW w:type="dxa" w:w="2600"/>
            <w:tcMar>
              <w:top w:w="80" w:type="dxa"/>
              <w:start w:w="120" w:type="dxa"/>
              <w:bottom w:w="80" w:type="dxa"/>
              <w:end w:w="120" w:type="dxa"/>
            </w:tcMar>
            <w:vAlign w:val="center"/>
          </w:tcPr>
          <w:p>
            <w:pPr>
              <w:spacing w:after="40"/>
            </w:pPr>
            <w:r>
              <w:rPr>
                <w:sz w:val="18"/>
              </w:rPr>
              <w:t>Cloudflare migration changes transaction semantics</w:t>
            </w:r>
          </w:p>
        </w:tc>
        <w:tc>
          <w:tcPr>
            <w:tcW w:type="dxa" w:w="6760"/>
            <w:tcMar>
              <w:top w:w="80" w:type="dxa"/>
              <w:start w:w="120" w:type="dxa"/>
              <w:bottom w:w="80" w:type="dxa"/>
              <w:end w:w="120" w:type="dxa"/>
            </w:tcMar>
            <w:vAlign w:val="center"/>
          </w:tcPr>
          <w:p>
            <w:pPr>
              <w:spacing w:after="40"/>
            </w:pPr>
            <w:r>
              <w:rPr>
                <w:sz w:val="18"/>
              </w:rPr>
              <w:t>Port by bounded domain contract; preserve idempotency/lease/outbox tests; stage before cutover.</w:t>
            </w:r>
          </w:p>
        </w:tc>
      </w:tr>
      <w:tr>
        <w:trPr>
          <w:cantSplit/>
        </w:trPr>
        <w:tc>
          <w:tcPr>
            <w:tcW w:type="dxa" w:w="2600"/>
            <w:tcMar>
              <w:top w:w="80" w:type="dxa"/>
              <w:start w:w="120" w:type="dxa"/>
              <w:bottom w:w="80" w:type="dxa"/>
              <w:end w:w="120" w:type="dxa"/>
            </w:tcMar>
            <w:vAlign w:val="center"/>
          </w:tcPr>
          <w:p>
            <w:pPr>
              <w:spacing w:after="40"/>
            </w:pPr>
            <w:r>
              <w:rPr>
                <w:sz w:val="18"/>
              </w:rPr>
              <w:t>Companion harm through paraphrase</w:t>
            </w:r>
          </w:p>
        </w:tc>
        <w:tc>
          <w:tcPr>
            <w:tcW w:type="dxa" w:w="6760"/>
            <w:tcMar>
              <w:top w:w="80" w:type="dxa"/>
              <w:start w:w="120" w:type="dxa"/>
              <w:bottom w:w="80" w:type="dxa"/>
              <w:end w:w="120" w:type="dxa"/>
            </w:tcMar>
            <w:vAlign w:val="center"/>
          </w:tcPr>
          <w:p>
            <w:pPr>
              <w:spacing w:after="40"/>
            </w:pPr>
            <w:r>
              <w:rPr>
                <w:sz w:val="18"/>
              </w:rPr>
              <w:t>Combine deterministic policy with semantic classification and multilingual red-team evaluation.</w:t>
            </w:r>
          </w:p>
        </w:tc>
      </w:tr>
      <w:tr>
        <w:trPr>
          <w:cantSplit/>
        </w:trPr>
        <w:tc>
          <w:tcPr>
            <w:tcW w:type="dxa" w:w="2600"/>
            <w:tcMar>
              <w:top w:w="80" w:type="dxa"/>
              <w:start w:w="120" w:type="dxa"/>
              <w:bottom w:w="80" w:type="dxa"/>
              <w:end w:w="120" w:type="dxa"/>
            </w:tcMar>
            <w:vAlign w:val="center"/>
          </w:tcPr>
          <w:p>
            <w:pPr>
              <w:spacing w:after="40"/>
            </w:pPr>
            <w:r>
              <w:rPr>
                <w:sz w:val="18"/>
              </w:rPr>
              <w:t>Editorial trust and legal exposure</w:t>
            </w:r>
          </w:p>
        </w:tc>
        <w:tc>
          <w:tcPr>
            <w:tcW w:type="dxa" w:w="6760"/>
            <w:tcMar>
              <w:top w:w="80" w:type="dxa"/>
              <w:start w:w="120" w:type="dxa"/>
              <w:bottom w:w="80" w:type="dxa"/>
              <w:end w:w="120" w:type="dxa"/>
            </w:tcMar>
            <w:vAlign w:val="center"/>
          </w:tcPr>
          <w:p>
            <w:pPr>
              <w:spacing w:after="40"/>
            </w:pPr>
            <w:r>
              <w:rPr>
                <w:sz w:val="18"/>
              </w:rPr>
              <w:t>Require rights/source/review records, named owners, correction/takedown path, job-expiry/scam controls.</w:t>
            </w:r>
          </w:p>
        </w:tc>
      </w:tr>
      <w:tr>
        <w:trPr>
          <w:cantSplit/>
        </w:trPr>
        <w:tc>
          <w:tcPr>
            <w:tcW w:type="dxa" w:w="2600"/>
            <w:tcMar>
              <w:top w:w="80" w:type="dxa"/>
              <w:start w:w="120" w:type="dxa"/>
              <w:bottom w:w="80" w:type="dxa"/>
              <w:end w:w="120" w:type="dxa"/>
            </w:tcMar>
            <w:vAlign w:val="center"/>
          </w:tcPr>
          <w:p>
            <w:pPr>
              <w:spacing w:after="40"/>
            </w:pPr>
            <w:r>
              <w:rPr>
                <w:sz w:val="18"/>
              </w:rPr>
              <w:t>Budget assumptions fail under provider traffic</w:t>
            </w:r>
          </w:p>
        </w:tc>
        <w:tc>
          <w:tcPr>
            <w:tcW w:type="dxa" w:w="6760"/>
            <w:tcMar>
              <w:top w:w="80" w:type="dxa"/>
              <w:start w:w="120" w:type="dxa"/>
              <w:bottom w:w="80" w:type="dxa"/>
              <w:end w:w="120" w:type="dxa"/>
            </w:tcMar>
            <w:vAlign w:val="center"/>
          </w:tcPr>
          <w:p>
            <w:pPr>
              <w:spacing w:after="40"/>
            </w:pPr>
            <w:r>
              <w:rPr>
                <w:sz w:val="18"/>
              </w:rPr>
              <w:t>Instrument per-outcome cost, limit usage, alert early, and gate cohorts independently.</w:t>
            </w:r>
          </w:p>
        </w:tc>
      </w:tr>
    </w:tbl>
    <w:p>
      <w:pPr>
        <w:pStyle w:val="Heading1"/>
        <w:keepNext/>
      </w:pPr>
      <w:r>
        <w:t>10. References</w:t>
      </w:r>
    </w:p>
    <w:p>
      <w:r>
        <w:t>References support technical assumptions; provider, platform, and policy behavior must be revalidated before production release.</w:t>
      </w:r>
    </w:p>
    <w:p>
      <w:pPr>
        <w:pStyle w:val="ListBullet"/>
      </w:pPr>
      <w:hyperlink r:id="rId10">
        <w:r>
          <w:rPr>
            <w:color w:val="007A73"/>
            <w:u w:val="single"/>
          </w:rPr>
          <w:t>Spitch Speech API</w:t>
        </w:r>
      </w:hyperlink>
      <w:r>
        <w:t xml:space="preserve"> — Direct Ogg/Opus speech synthesis and Nigerian-language voices.</w:t>
      </w:r>
    </w:p>
    <w:p>
      <w:pPr>
        <w:pStyle w:val="ListBullet"/>
      </w:pPr>
      <w:hyperlink r:id="rId11">
        <w:r>
          <w:rPr>
            <w:color w:val="007A73"/>
            <w:u w:val="single"/>
          </w:rPr>
          <w:t>Spitch Translation API</w:t>
        </w:r>
      </w:hyperlink>
      <w:r>
        <w:t xml:space="preserve"> — Translation among English, Pidgin, Yorùbá, Hausa, and Igbo.</w:t>
      </w:r>
    </w:p>
    <w:p>
      <w:pPr>
        <w:pStyle w:val="ListBullet"/>
      </w:pPr>
      <w:hyperlink r:id="rId12">
        <w:r>
          <w:rPr>
            <w:color w:val="007A73"/>
            <w:u w:val="single"/>
          </w:rPr>
          <w:t>Android TextToSpeech</w:t>
        </w:r>
      </w:hyperlink>
      <w:r>
        <w:t xml:space="preserve"> — Installed-engine capability and local synthesis behavior.</w:t>
      </w:r>
    </w:p>
    <w:p>
      <w:pPr>
        <w:pStyle w:val="ListBullet"/>
      </w:pPr>
      <w:hyperlink r:id="rId13">
        <w:r>
          <w:rPr>
            <w:color w:val="007A73"/>
            <w:u w:val="single"/>
          </w:rPr>
          <w:t>Android TTS Engine</w:t>
        </w:r>
      </w:hyperlink>
      <w:r>
        <w:t xml:space="preserve"> — Language-data install and engine settings actions.</w:t>
      </w:r>
    </w:p>
    <w:p>
      <w:pPr>
        <w:pStyle w:val="ListBullet"/>
      </w:pPr>
      <w:hyperlink r:id="rId14">
        <w:r>
          <w:rPr>
            <w:color w:val="007A73"/>
            <w:u w:val="single"/>
          </w:rPr>
          <w:t>Android supported media formats</w:t>
        </w:r>
      </w:hyperlink>
      <w:r>
        <w:t xml:space="preserve"> — Opus platform support baseline.</w:t>
      </w:r>
    </w:p>
    <w:p>
      <w:pPr>
        <w:pStyle w:val="ListBullet"/>
      </w:pPr>
      <w:hyperlink r:id="rId15">
        <w:r>
          <w:rPr>
            <w:color w:val="007A73"/>
            <w:u w:val="single"/>
          </w:rPr>
          <w:t>AndroidX Media3 OggMuxer</w:t>
        </w:r>
      </w:hyperlink>
      <w:r>
        <w:t xml:space="preserve"> — Ogg container option for supported Android versions.</w:t>
      </w:r>
    </w:p>
    <w:p>
      <w:pPr>
        <w:pStyle w:val="ListBullet"/>
      </w:pPr>
      <w:hyperlink r:id="rId16">
        <w:r>
          <w:rPr>
            <w:color w:val="007A73"/>
            <w:u w:val="single"/>
          </w:rPr>
          <w:t>WhatsApp Cloud API audio message</w:t>
        </w:r>
      </w:hyperlink>
      <w:r>
        <w:t xml:space="preserve"> — Server-originated audio delivery contract.</w:t>
      </w:r>
    </w:p>
    <w:p>
      <w:pPr>
        <w:pStyle w:val="ListBullet"/>
      </w:pPr>
      <w:hyperlink r:id="rId17">
        <w:r>
          <w:rPr>
            <w:color w:val="007A73"/>
            <w:u w:val="single"/>
          </w:rPr>
          <w:t>Cloudflare Workers pricing</w:t>
        </w:r>
      </w:hyperlink>
      <w:r>
        <w:t xml:space="preserve"> — Cloud execution assumptions and limits.</w:t>
      </w:r>
    </w:p>
    <w:p>
      <w:pPr>
        <w:pStyle w:val="ListBullet"/>
      </w:pPr>
      <w:hyperlink r:id="rId18">
        <w:r>
          <w:rPr>
            <w:color w:val="007A73"/>
            <w:u w:val="single"/>
          </w:rPr>
          <w:t>Cloudflare D1 pricing</w:t>
        </w:r>
      </w:hyperlink>
      <w:r>
        <w:t xml:space="preserve"> — Database cost and capacity assumptions.</w:t>
      </w:r>
    </w:p>
    <w:p>
      <w:pPr>
        <w:pStyle w:val="ListBullet"/>
      </w:pPr>
      <w:hyperlink r:id="rId19">
        <w:r>
          <w:rPr>
            <w:color w:val="007A73"/>
            <w:u w:val="single"/>
          </w:rPr>
          <w:t>Cloudflare R2 pricing</w:t>
        </w:r>
      </w:hyperlink>
      <w:r>
        <w:t xml:space="preserve"> — Audio object storage and egress assumptions.</w:t>
      </w:r>
    </w:p>
    <w:p>
      <w:pPr>
        <w:pStyle w:val="ListBullet"/>
      </w:pPr>
      <w:hyperlink r:id="rId20">
        <w:r>
          <w:rPr>
            <w:color w:val="007A73"/>
            <w:u w:val="single"/>
          </w:rPr>
          <w:t>Cloudflare Queues pricing</w:t>
        </w:r>
      </w:hyperlink>
      <w:r>
        <w:t xml:space="preserve"> — Asynchronous synthesis and delivery cost assumptions.</w:t>
      </w:r>
    </w:p>
    <w:p>
      <w:pPr>
        <w:pStyle w:val="ListBullet"/>
      </w:pPr>
      <w:hyperlink r:id="rId21">
        <w:r>
          <w:rPr>
            <w:color w:val="007A73"/>
            <w:u w:val="single"/>
          </w:rPr>
          <w:t>Firebase pricing plans</w:t>
        </w:r>
      </w:hyperlink>
      <w:r>
        <w:t xml:space="preserve"> — Authentication billing assumptions.</w:t>
      </w:r>
    </w:p>
    <w:p>
      <w:pPr>
        <w:pStyle w:val="Heading2"/>
        <w:keepNext/>
      </w:pPr>
      <w:r>
        <w:t>Document control</w:t>
      </w:r>
    </w:p>
    <w:tbl>
      <w:tblPr>
        <w:tblW w:type="auto" w:w="0"/>
        <w:jc w:val="center"/>
        <w:tblLayout w:type="fixed"/>
        <w:tblLook w:firstColumn="1" w:firstRow="1" w:lastColumn="0" w:lastRow="0" w:noHBand="0" w:noVBand="1" w:val="04A0"/>
        <w:tblBorders>
          <w:top w:val="single" w:sz="4" w:space="0" w:color="D7E2E0"/>
          <w:left w:val="single" w:sz="4" w:space="0" w:color="D7E2E0"/>
          <w:bottom w:val="single" w:sz="4" w:space="0" w:color="D7E2E0"/>
          <w:right w:val="single" w:sz="4" w:space="0" w:color="D7E2E0"/>
          <w:insideH w:val="single" w:sz="4" w:space="0" w:color="D7E2E0"/>
          <w:insideV w:val="single" w:sz="4" w:space="0" w:color="D7E2E0"/>
        </w:tblBorders>
      </w:tblPr>
      <w:tblGrid>
        <w:gridCol w:w="1200"/>
        <w:gridCol w:w="1800"/>
        <w:gridCol w:w="6360"/>
      </w:tblGrid>
      <w:tr>
        <w:trPr>
          <w:tblHeader w:val="true"/>
          <w:cantSplit/>
        </w:trPr>
        <w:tc>
          <w:tcPr>
            <w:tcW w:type="dxa" w:w="1200"/>
            <w:tcMar>
              <w:top w:w="80" w:type="dxa"/>
              <w:start w:w="120" w:type="dxa"/>
              <w:bottom w:w="80" w:type="dxa"/>
              <w:end w:w="120" w:type="dxa"/>
            </w:tcMar>
            <w:vAlign w:val="center"/>
            <w:shd w:fill="003B36"/>
          </w:tcPr>
          <w:p>
            <w:r>
              <w:rPr>
                <w:b/>
                <w:color w:val="FFFFFF"/>
                <w:sz w:val="18"/>
              </w:rPr>
              <w:t>Version</w:t>
            </w:r>
          </w:p>
        </w:tc>
        <w:tc>
          <w:tcPr>
            <w:tcW w:type="dxa" w:w="1800"/>
            <w:tcMar>
              <w:top w:w="80" w:type="dxa"/>
              <w:start w:w="120" w:type="dxa"/>
              <w:bottom w:w="80" w:type="dxa"/>
              <w:end w:w="120" w:type="dxa"/>
            </w:tcMar>
            <w:vAlign w:val="center"/>
            <w:shd w:fill="003B36"/>
          </w:tcPr>
          <w:p>
            <w:r>
              <w:rPr>
                <w:b/>
                <w:color w:val="FFFFFF"/>
                <w:sz w:val="18"/>
              </w:rPr>
              <w:t>Date</w:t>
            </w:r>
          </w:p>
        </w:tc>
        <w:tc>
          <w:tcPr>
            <w:tcW w:type="dxa" w:w="6360"/>
            <w:tcMar>
              <w:top w:w="80" w:type="dxa"/>
              <w:start w:w="120" w:type="dxa"/>
              <w:bottom w:w="80" w:type="dxa"/>
              <w:end w:w="120" w:type="dxa"/>
            </w:tcMar>
            <w:vAlign w:val="center"/>
            <w:shd w:fill="003B36"/>
          </w:tcPr>
          <w:p>
            <w:r>
              <w:rPr>
                <w:b/>
                <w:color w:val="FFFFFF"/>
                <w:sz w:val="18"/>
              </w:rPr>
              <w:t>Change</w:t>
            </w:r>
          </w:p>
        </w:tc>
      </w:tr>
      <w:tr>
        <w:trPr>
          <w:cantSplit/>
        </w:trPr>
        <w:tc>
          <w:tcPr>
            <w:tcW w:type="dxa" w:w="1200"/>
            <w:tcMar>
              <w:top w:w="80" w:type="dxa"/>
              <w:start w:w="120" w:type="dxa"/>
              <w:bottom w:w="80" w:type="dxa"/>
              <w:end w:w="120" w:type="dxa"/>
            </w:tcMar>
            <w:vAlign w:val="center"/>
          </w:tcPr>
          <w:p>
            <w:pPr>
              <w:spacing w:after="40"/>
            </w:pPr>
            <w:r>
              <w:rPr>
                <w:sz w:val="18"/>
              </w:rPr>
              <w:t>1.0</w:t>
            </w:r>
          </w:p>
        </w:tc>
        <w:tc>
          <w:tcPr>
            <w:tcW w:type="dxa" w:w="1800"/>
            <w:tcMar>
              <w:top w:w="80" w:type="dxa"/>
              <w:start w:w="120" w:type="dxa"/>
              <w:bottom w:w="80" w:type="dxa"/>
              <w:end w:w="120" w:type="dxa"/>
            </w:tcMar>
            <w:vAlign w:val="center"/>
          </w:tcPr>
          <w:p>
            <w:pPr>
              <w:spacing w:after="40"/>
            </w:pPr>
            <w:r>
              <w:rPr>
                <w:sz w:val="18"/>
              </w:rPr>
              <w:t>2026-08-15</w:t>
            </w:r>
          </w:p>
        </w:tc>
        <w:tc>
          <w:tcPr>
            <w:tcW w:type="dxa" w:w="6360"/>
            <w:tcMar>
              <w:top w:w="80" w:type="dxa"/>
              <w:start w:w="120" w:type="dxa"/>
              <w:bottom w:w="80" w:type="dxa"/>
              <w:end w:w="120" w:type="dxa"/>
            </w:tcMar>
            <w:vAlign w:val="center"/>
          </w:tcPr>
          <w:p>
            <w:pPr>
              <w:spacing w:after="40"/>
            </w:pPr>
            <w:r>
              <w:rPr>
                <w:sz w:val="18"/>
              </w:rPr>
              <w:t>Initial production baseline and traceable milestone/epic/story plan.</w:t>
            </w:r>
          </w:p>
        </w:tc>
      </w:tr>
    </w:tbl>
    <w:sectPr w:rsidR="00FC693F" w:rsidRPr="0006063C" w:rsidSect="00034616">
      <w:footerReference w:type="default" r:id="rId9"/>
      <w:pgSz w:w="12240" w:h="15840"/>
      <w:pgMar w:top="1080" w:right="1440" w:bottom="1080" w:left="1440" w:header="403"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C79"/>
        <w:sz w:val="16"/>
      </w:rPr>
      <w:t xml:space="preserve">VOICE HUB  •  PRD v1.0  •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31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7A7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3B3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3B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03B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C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17312F"/>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color w:val="17312F"/>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17312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spitch.app/features/speech" TargetMode="External"/><Relationship Id="rId11" Type="http://schemas.openxmlformats.org/officeDocument/2006/relationships/hyperlink" Target="https://docs.spitch.app/api/text/translate" TargetMode="External"/><Relationship Id="rId12" Type="http://schemas.openxmlformats.org/officeDocument/2006/relationships/hyperlink" Target="https://developer.android.com/reference/android/speech/tts/TextToSpeech" TargetMode="External"/><Relationship Id="rId13" Type="http://schemas.openxmlformats.org/officeDocument/2006/relationships/hyperlink" Target="https://developer.android.com/reference/android/speech/tts/TextToSpeech.Engine" TargetMode="External"/><Relationship Id="rId14" Type="http://schemas.openxmlformats.org/officeDocument/2006/relationships/hyperlink" Target="https://developer.android.com/media/platform/supported-formats" TargetMode="External"/><Relationship Id="rId15" Type="http://schemas.openxmlformats.org/officeDocument/2006/relationships/hyperlink" Target="https://developer.android.com/reference/androidx/media3/muxer/OggMuxer" TargetMode="External"/><Relationship Id="rId16" Type="http://schemas.openxmlformats.org/officeDocument/2006/relationships/hyperlink" Target="https://www.postman.com/meta/whatsapp-business-platform/request/juzqcg2/send-audio-message-by-url" TargetMode="External"/><Relationship Id="rId17" Type="http://schemas.openxmlformats.org/officeDocument/2006/relationships/hyperlink" Target="https://developers.cloudflare.com/workers/platform/pricing/" TargetMode="External"/><Relationship Id="rId18" Type="http://schemas.openxmlformats.org/officeDocument/2006/relationships/hyperlink" Target="https://developers.cloudflare.com/d1/platform/pricing/" TargetMode="External"/><Relationship Id="rId19" Type="http://schemas.openxmlformats.org/officeDocument/2006/relationships/hyperlink" Target="https://developers.cloudflare.com/r2/pricing/" TargetMode="External"/><Relationship Id="rId20" Type="http://schemas.openxmlformats.org/officeDocument/2006/relationships/hyperlink" Target="https://developers.cloudflare.com/queues/platform/pricing/" TargetMode="External"/><Relationship Id="rId21" Type="http://schemas.openxmlformats.org/officeDocument/2006/relationships/hyperlink" Target="https://firebase.google.com/docs/projects/billing/firebase-pricing-pl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