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B3D2E"/>
          <w:sz w:val="40"/>
          <w:szCs w:val="40"/>
        </w:rPr>
        <w:t xml:space="preserve">TERM SHEET</w:t>
      </w:r>
    </w:p>
    <w:p>
      <w:pPr>
        <w:spacing w:after="200"/>
      </w:pPr>
      <w:r>
        <w:rPr>
          <w:rFonts w:ascii="Calibri" w:cs="Calibri" w:eastAsia="Calibri" w:hAnsi="Calibri"/>
          <w:color w:val="8A6D1F"/>
          <w:sz w:val="26"/>
          <w:szCs w:val="26"/>
        </w:rPr>
        <w:t xml:space="preserve">Brand equity partnership</w:t>
      </w:r>
    </w:p>
    <w:p>
      <w:pPr>
        <w:spacing w:after="60" w:before="0" w:line="276"/>
      </w:pPr>
      <w:r>
        <w:rPr>
          <w:rFonts w:ascii="Calibri" w:cs="Calibri" w:eastAsia="Calibri" w:hAnsi="Calibri"/>
          <w:b/>
          <w:bCs/>
          <w:color w:val="1A1A1A"/>
          <w:sz w:val="20"/>
          <w:szCs w:val="20"/>
        </w:rPr>
        <w:t xml:space="preserve">Mulligan Mints (Pty) Ltd </w:t>
      </w:r>
      <w:r>
        <w:rPr>
          <w:rFonts w:ascii="Calibri" w:cs="Calibri" w:eastAsia="Calibri" w:hAnsi="Calibri"/>
          <w:i/>
          <w:iCs/>
          <w:color w:val="1A1A1A"/>
          <w:sz w:val="20"/>
          <w:szCs w:val="20"/>
        </w:rPr>
        <w:t xml:space="preserve">(in formation) </w:t>
      </w:r>
      <w:r>
        <w:rPr>
          <w:rFonts w:ascii="Calibri" w:cs="Calibri" w:eastAsia="Calibri" w:hAnsi="Calibri"/>
          <w:b w:val="false"/>
          <w:bCs w:val="false"/>
          <w:color w:val="1A1A1A"/>
          <w:sz w:val="20"/>
          <w:szCs w:val="20"/>
        </w:rPr>
        <w:t xml:space="preserve">and </w:t>
      </w:r>
      <w:r>
        <w:rPr>
          <w:rFonts w:ascii="Calibri" w:cs="Calibri" w:eastAsia="Calibri" w:hAnsi="Calibri"/>
          <w:b/>
          <w:bCs/>
          <w:color w:val="1A1A1A"/>
          <w:sz w:val="20"/>
          <w:szCs w:val="20"/>
        </w:rPr>
        <w:t xml:space="preserve">PJ Offner</w:t>
      </w:r>
    </w:p>
    <w:p>
      <w:pPr>
        <w:spacing w:after="160" w:before="0" w:line="276"/>
      </w:pPr>
      <w:r>
        <w:rPr>
          <w:rFonts w:ascii="Calibri" w:cs="Calibri" w:eastAsia="Calibri" w:hAnsi="Calibri"/>
          <w:color w:val="5A5A5A"/>
          <w:sz w:val="20"/>
          <w:szCs w:val="20"/>
        </w:rPr>
        <w:t xml:space="preserve">Date: </w:t>
      </w:r>
      <w:r>
        <w:rPr>
          <w:rFonts w:ascii="Calibri" w:cs="Calibri" w:eastAsia="Calibri" w:hAnsi="Calibri"/>
          <w:color w:val="5A5A5A"/>
          <w:sz w:val="20"/>
          <w:szCs w:val="20"/>
        </w:rPr>
        <w:t xml:space="preserve">________________________ 2026</w:t>
      </w:r>
    </w:p>
    <w:p>
      <w:pPr>
        <w:pBdr>
          <w:bottom w:val="single" w:color="C9C9C9" w:sz="6" w:space="1"/>
        </w:pBdr>
        <w:spacing w:after="200" w:before="100"/>
      </w:pPr>
      <w:r>
        <w:rPr>
          <w:sz w:val="2"/>
          <w:szCs w:val="2"/>
        </w:rPr>
        <w:t xml:space="preserve"/>
      </w:r>
    </w:p>
    <w:p>
      <w:pPr>
        <w:pStyle w:val="Heading1"/>
        <w:spacing w:after="140" w:before="320"/>
      </w:pPr>
      <w:r>
        <w:rPr>
          <w:rFonts w:ascii="Calibri" w:cs="Calibri" w:eastAsia="Calibri" w:hAnsi="Calibri"/>
          <w:b/>
          <w:bCs/>
          <w:color w:val="0B3D2E"/>
          <w:sz w:val="26"/>
          <w:szCs w:val="26"/>
        </w:rPr>
        <w:t xml:space="preserve">In plain terms</w:t>
      </w:r>
    </w:p>
    <w:p>
      <w:pPr>
        <w:spacing w:after="120" w:before="0" w:line="276"/>
      </w:pPr>
      <w:r>
        <w:rPr>
          <w:rFonts w:ascii="Calibri" w:cs="Calibri" w:eastAsia="Calibri" w:hAnsi="Calibri"/>
          <w:color w:val="1A1A1A"/>
          <w:sz w:val="20"/>
          <w:szCs w:val="20"/>
        </w:rPr>
        <w:t xml:space="preserve">PJ builds the Mulligan Mints brand — the identity, the packaging artwork and the brand guidelines. In return he gets 10% of the company, not a fee.</w:t>
      </w:r>
    </w:p>
    <w:p>
      <w:pPr>
        <w:spacing w:after="120" w:before="0" w:line="276"/>
      </w:pPr>
      <w:r>
        <w:rPr>
          <w:rFonts w:ascii="Calibri" w:cs="Calibri" w:eastAsia="Calibri" w:hAnsi="Calibri"/>
          <w:color w:val="1A1A1A"/>
          <w:sz w:val="20"/>
          <w:szCs w:val="20"/>
        </w:rPr>
        <w:t xml:space="preserve">He becomes a shareholder on day one. The shares vest as the work is delivered, so both sides carry the risk together. The company owns everything he makes, outright and forever, because that ownership is what the whole business is built on.</w:t>
      </w:r>
    </w:p>
    <w:p>
      <w:pPr>
        <w:spacing w:after="200" w:before="0" w:line="276"/>
      </w:pPr>
      <w:r>
        <w:rPr>
          <w:rFonts w:ascii="Calibri" w:cs="Calibri" w:eastAsia="Calibri" w:hAnsi="Calibri"/>
          <w:color w:val="1A1A1A"/>
          <w:sz w:val="20"/>
          <w:szCs w:val="20"/>
        </w:rPr>
        <w:t xml:space="preserve">That's the deal. The rest of this document is the detail.</w:t>
      </w:r>
    </w:p>
    <w:p>
      <w:pPr>
        <w:pStyle w:val="Heading1"/>
        <w:spacing w:after="140" w:before="320"/>
      </w:pPr>
      <w:r>
        <w:rPr>
          <w:rFonts w:ascii="Calibri" w:cs="Calibri" w:eastAsia="Calibri" w:hAnsi="Calibri"/>
          <w:b/>
          <w:bCs/>
          <w:color w:val="0B3D2E"/>
          <w:sz w:val="26"/>
          <w:szCs w:val="26"/>
        </w:rPr>
        <w:t xml:space="preserve">1.  Parties</w:t>
      </w:r>
    </w:p>
    <w:tbl>
      <w:tblPr>
        <w:tblW w:type="dxa" w:w="9360"/>
        <w:tblBorders>
          <w:top w:val="single" w:color="C9C9C9" w:sz="4"/>
          <w:left w:val="single" w:color="C9C9C9" w:sz="4"/>
          <w:bottom w:val="single" w:color="C9C9C9" w:sz="4"/>
          <w:right w:val="single" w:color="C9C9C9" w:sz="4"/>
          <w:insideH w:val="single" w:color="C9C9C9" w:sz="2"/>
          <w:insideV w:val="single" w:color="C9C9C9" w:sz="2"/>
        </w:tblBorders>
      </w:tblPr>
      <w:tblGrid>
        <w:gridCol w:w="2200"/>
        <w:gridCol w:w="7160"/>
      </w:tblGrid>
      <w:tr>
        <w:tc>
          <w:tcPr>
            <w:tcW w:type="dxa" w:w="2200"/>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The Company</w:t>
            </w:r>
          </w:p>
        </w:tc>
        <w:tc>
          <w:tcPr>
            <w:tcW w:type="dxa" w:w="7160"/>
            <w:tcMar>
              <w:top w:type="dxa" w:w="90"/>
              <w:left w:type="dxa" w:w="130"/>
              <w:bottom w:type="dxa" w:w="90"/>
              <w:right w:type="dxa" w:w="130"/>
            </w:tcMar>
          </w:tcPr>
          <w:p>
            <w:pPr>
              <w:spacing w:after="0" w:line="260"/>
            </w:pPr>
            <w:r>
              <w:rPr>
                <w:rFonts w:ascii="Calibri" w:cs="Calibri" w:eastAsia="Calibri" w:hAnsi="Calibri"/>
                <w:color w:val="1A1A1A"/>
                <w:sz w:val="19"/>
                <w:szCs w:val="19"/>
              </w:rPr>
              <w:t xml:space="preserve">Mulligan Mints (Pty) Ltd, a company to be incorporated in South Africa</w:t>
            </w:r>
          </w:p>
        </w:tc>
      </w:tr>
      <w:tr>
        <w:tc>
          <w:tcPr>
            <w:tcW w:type="dxa" w:w="2200"/>
            <w:shd w:fill="F7F9F7"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The Founder</w:t>
            </w:r>
          </w:p>
        </w:tc>
        <w:tc>
          <w:tcPr>
            <w:tcW w:type="dxa" w:w="7160"/>
            <w:shd w:fill="F7F9F7" w:color="auto" w:val="clear"/>
            <w:tcMar>
              <w:top w:type="dxa" w:w="90"/>
              <w:left w:type="dxa" w:w="130"/>
              <w:bottom w:type="dxa" w:w="90"/>
              <w:right w:type="dxa" w:w="130"/>
            </w:tcMar>
          </w:tcPr>
          <w:p>
            <w:pPr>
              <w:spacing w:after="0" w:line="260"/>
            </w:pPr>
            <w:r>
              <w:rPr>
                <w:rFonts w:ascii="Calibri" w:cs="Calibri" w:eastAsia="Calibri" w:hAnsi="Calibri"/>
                <w:color w:val="1A1A1A"/>
                <w:sz w:val="19"/>
                <w:szCs w:val="19"/>
              </w:rPr>
              <w:t xml:space="preserve">Johannes Le Roux</w:t>
            </w:r>
          </w:p>
        </w:tc>
      </w:tr>
      <w:tr>
        <w:tc>
          <w:tcPr>
            <w:tcW w:type="dxa" w:w="2200"/>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The Designer</w:t>
            </w:r>
          </w:p>
        </w:tc>
        <w:tc>
          <w:tcPr>
            <w:tcW w:type="dxa" w:w="7160"/>
            <w:tcMar>
              <w:top w:type="dxa" w:w="90"/>
              <w:left w:type="dxa" w:w="130"/>
              <w:bottom w:type="dxa" w:w="90"/>
              <w:right w:type="dxa" w:w="130"/>
            </w:tcMar>
          </w:tcPr>
          <w:p>
            <w:pPr>
              <w:spacing w:after="0" w:line="260"/>
            </w:pPr>
            <w:r>
              <w:rPr>
                <w:rFonts w:ascii="Calibri" w:cs="Calibri" w:eastAsia="Calibri" w:hAnsi="Calibri"/>
                <w:color w:val="1A1A1A"/>
                <w:sz w:val="19"/>
                <w:szCs w:val="19"/>
              </w:rPr>
              <w:t xml:space="preserve">PJ Offner</w:t>
            </w:r>
          </w:p>
        </w:tc>
      </w:tr>
    </w:tbl>
    <w:p>
      <w:pPr>
        <w:spacing w:after="120"/>
      </w:pPr>
      <w:r>
        <w:rPr>
          <w:sz w:val="2"/>
          <w:szCs w:val="2"/>
        </w:rPr>
        <w:t xml:space="preserve"/>
      </w:r>
    </w:p>
    <w:p>
      <w:pPr>
        <w:spacing w:after="120" w:before="0" w:line="276"/>
      </w:pPr>
      <w:r>
        <w:rPr>
          <w:rFonts w:ascii="Calibri" w:cs="Calibri" w:eastAsia="Calibri" w:hAnsi="Calibri"/>
          <w:color w:val="1A1A1A"/>
          <w:sz w:val="20"/>
          <w:szCs w:val="20"/>
        </w:rPr>
        <w:t xml:space="preserve">Where this term sheet refers to the Company before it is incorporated, Johannes Le Roux signs on its behalf and the Company ratifies this agreement on incorporation.</w:t>
      </w:r>
    </w:p>
    <w:p>
      <w:pPr>
        <w:pStyle w:val="Heading1"/>
        <w:spacing w:after="140" w:before="320"/>
      </w:pPr>
      <w:r>
        <w:rPr>
          <w:rFonts w:ascii="Calibri" w:cs="Calibri" w:eastAsia="Calibri" w:hAnsi="Calibri"/>
          <w:b/>
          <w:bCs/>
          <w:color w:val="0B3D2E"/>
          <w:sz w:val="26"/>
          <w:szCs w:val="26"/>
        </w:rPr>
        <w:t xml:space="preserve">2.  The transaction</w:t>
      </w:r>
    </w:p>
    <w:tbl>
      <w:tblPr>
        <w:tblW w:type="dxa" w:w="9360"/>
        <w:tblBorders>
          <w:top w:val="single" w:color="C9C9C9" w:sz="4"/>
          <w:left w:val="single" w:color="C9C9C9" w:sz="4"/>
          <w:bottom w:val="single" w:color="C9C9C9" w:sz="4"/>
          <w:right w:val="single" w:color="C9C9C9" w:sz="4"/>
          <w:insideH w:val="single" w:color="C9C9C9" w:sz="2"/>
          <w:insideV w:val="single" w:color="C9C9C9" w:sz="2"/>
        </w:tblBorders>
      </w:tblPr>
      <w:tblGrid>
        <w:gridCol w:w="2600"/>
        <w:gridCol w:w="6760"/>
      </w:tblGrid>
      <w:tr>
        <w:tc>
          <w:tcPr>
            <w:tcW w:type="dxa" w:w="2600"/>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What PJ receives</w:t>
            </w:r>
          </w:p>
        </w:tc>
        <w:tc>
          <w:tcPr>
            <w:tcW w:type="dxa" w:w="6760"/>
            <w:tcMar>
              <w:top w:type="dxa" w:w="90"/>
              <w:left w:type="dxa" w:w="130"/>
              <w:bottom w:type="dxa" w:w="90"/>
              <w:right w:type="dxa" w:w="130"/>
            </w:tcMar>
          </w:tcPr>
          <w:p>
            <w:pPr>
              <w:spacing w:after="0" w:line="260"/>
            </w:pPr>
            <w:r>
              <w:rPr>
                <w:rFonts w:ascii="Calibri" w:cs="Calibri" w:eastAsia="Calibri" w:hAnsi="Calibri"/>
                <w:color w:val="1A1A1A"/>
                <w:sz w:val="19"/>
                <w:szCs w:val="19"/>
              </w:rPr>
              <w:t xml:space="preserve">Ordinary shares equal to </w:t>
            </w:r>
            <w:r>
              <w:rPr>
                <w:rFonts w:ascii="Calibri" w:cs="Calibri" w:eastAsia="Calibri" w:hAnsi="Calibri"/>
                <w:b/>
                <w:bCs/>
                <w:color w:val="1A1A1A"/>
                <w:sz w:val="19"/>
                <w:szCs w:val="19"/>
              </w:rPr>
              <w:t xml:space="preserve">10% of the Company's issued share capital</w:t>
            </w:r>
            <w:r>
              <w:rPr>
                <w:rFonts w:ascii="Calibri" w:cs="Calibri" w:eastAsia="Calibri" w:hAnsi="Calibri"/>
                <w:color w:val="1A1A1A"/>
                <w:sz w:val="19"/>
                <w:szCs w:val="19"/>
              </w:rPr>
              <w:t xml:space="preserve">, measured immediately after issue</w:t>
            </w:r>
          </w:p>
        </w:tc>
      </w:tr>
      <w:tr>
        <w:tc>
          <w:tcPr>
            <w:tcW w:type="dxa" w:w="2600"/>
            <w:shd w:fill="F7F9F7"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What PJ gives</w:t>
            </w:r>
          </w:p>
        </w:tc>
        <w:tc>
          <w:tcPr>
            <w:tcW w:type="dxa" w:w="6760"/>
            <w:shd w:fill="F7F9F7" w:color="auto" w:val="clear"/>
            <w:tcMar>
              <w:top w:type="dxa" w:w="90"/>
              <w:left w:type="dxa" w:w="130"/>
              <w:bottom w:type="dxa" w:w="90"/>
              <w:right w:type="dxa" w:w="130"/>
            </w:tcMar>
          </w:tcPr>
          <w:p>
            <w:pPr>
              <w:spacing w:after="0" w:line="260"/>
            </w:pPr>
            <w:r>
              <w:rPr>
                <w:rFonts w:ascii="Calibri" w:cs="Calibri" w:eastAsia="Calibri" w:hAnsi="Calibri"/>
                <w:color w:val="1A1A1A"/>
                <w:sz w:val="19"/>
                <w:szCs w:val="19"/>
              </w:rPr>
              <w:t xml:space="preserve">The Deliverables in clause 3, and full assignment of all intellectual property in them</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Cash fee</w:t>
            </w:r>
          </w:p>
        </w:tc>
        <w:tc>
          <w:tcPr>
            <w:tcW w:type="dxa" w:w="6760"/>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None.</w:t>
            </w:r>
            <w:r>
              <w:rPr>
                <w:rFonts w:ascii="Calibri" w:cs="Calibri" w:eastAsia="Calibri" w:hAnsi="Calibri"/>
                <w:color w:val="1A1A1A"/>
                <w:sz w:val="19"/>
                <w:szCs w:val="19"/>
              </w:rPr>
              <w:t xml:space="preserve"> The equity is the whole consideration for the Deliverables.</w:t>
            </w:r>
          </w:p>
        </w:tc>
      </w:tr>
      <w:tr>
        <w:tc>
          <w:tcPr>
            <w:tcW w:type="dxa" w:w="2600"/>
            <w:shd w:fill="F7F9F7"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Costs and expenses</w:t>
            </w:r>
          </w:p>
        </w:tc>
        <w:tc>
          <w:tcPr>
            <w:tcW w:type="dxa" w:w="6760"/>
            <w:shd w:fill="F7F9F7"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PJ carries his own costs.</w:t>
            </w:r>
            <w:r>
              <w:rPr>
                <w:rFonts w:ascii="Calibri" w:cs="Calibri" w:eastAsia="Calibri" w:hAnsi="Calibri"/>
                <w:color w:val="1A1A1A"/>
                <w:sz w:val="19"/>
                <w:szCs w:val="19"/>
              </w:rPr>
              <w:t xml:space="preserve"> The Company does not reimburse disbursements — typeface licences, stock imagery, proofs, printing or couriers. Those are for PJ's account.</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Subscription price</w:t>
            </w:r>
          </w:p>
        </w:tc>
        <w:tc>
          <w:tcPr>
            <w:tcW w:type="dxa" w:w="6760"/>
            <w:tcMar>
              <w:top w:type="dxa" w:w="90"/>
              <w:left w:type="dxa" w:w="130"/>
              <w:bottom w:type="dxa" w:w="90"/>
              <w:right w:type="dxa" w:w="130"/>
            </w:tcMar>
          </w:tcPr>
          <w:p>
            <w:pPr>
              <w:spacing w:after="0" w:line="260"/>
            </w:pPr>
            <w:r>
              <w:rPr>
                <w:rFonts w:ascii="Calibri" w:cs="Calibri" w:eastAsia="Calibri" w:hAnsi="Calibri"/>
                <w:color w:val="1A1A1A"/>
                <w:sz w:val="19"/>
                <w:szCs w:val="19"/>
              </w:rPr>
              <w:t xml:space="preserve">Nominal — R100 in aggregate, or as the Company's accountants advise</w:t>
            </w:r>
          </w:p>
        </w:tc>
      </w:tr>
      <w:tr>
        <w:tc>
          <w:tcPr>
            <w:tcW w:type="dxa" w:w="2600"/>
            <w:shd w:fill="F7F9F7"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Share class</w:t>
            </w:r>
          </w:p>
        </w:tc>
        <w:tc>
          <w:tcPr>
            <w:tcW w:type="dxa" w:w="6760"/>
            <w:shd w:fill="F7F9F7" w:color="auto" w:val="clear"/>
            <w:tcMar>
              <w:top w:type="dxa" w:w="90"/>
              <w:left w:type="dxa" w:w="130"/>
              <w:bottom w:type="dxa" w:w="90"/>
              <w:right w:type="dxa" w:w="130"/>
            </w:tcMar>
          </w:tcPr>
          <w:p>
            <w:pPr>
              <w:spacing w:after="0" w:line="260"/>
            </w:pPr>
            <w:r>
              <w:rPr>
                <w:rFonts w:ascii="Calibri" w:cs="Calibri" w:eastAsia="Calibri" w:hAnsi="Calibri"/>
                <w:color w:val="1A1A1A"/>
                <w:sz w:val="19"/>
                <w:szCs w:val="19"/>
              </w:rPr>
              <w:t xml:space="preserve">Ordinary shares, ranking equally with the Founder's shares in all respects</w:t>
            </w:r>
          </w:p>
        </w:tc>
      </w:tr>
    </w:tbl>
    <w:p>
      <w:pPr>
        <w:pStyle w:val="Heading1"/>
        <w:spacing w:after="140" w:before="320"/>
      </w:pPr>
      <w:r>
        <w:rPr>
          <w:rFonts w:ascii="Calibri" w:cs="Calibri" w:eastAsia="Calibri" w:hAnsi="Calibri"/>
          <w:b/>
          <w:bCs/>
          <w:color w:val="0B3D2E"/>
          <w:sz w:val="26"/>
          <w:szCs w:val="26"/>
        </w:rPr>
        <w:t xml:space="preserve">3.  What PJ delivers</w:t>
      </w:r>
    </w:p>
    <w:p>
      <w:pPr>
        <w:spacing w:after="120" w:before="0" w:line="276"/>
      </w:pPr>
      <w:r>
        <w:rPr>
          <w:rFonts w:ascii="Calibri" w:cs="Calibri" w:eastAsia="Calibri" w:hAnsi="Calibri"/>
          <w:color w:val="1A1A1A"/>
          <w:sz w:val="20"/>
          <w:szCs w:val="20"/>
        </w:rPr>
        <w:t xml:space="preserve">The scope is the creative brief attached to this term sheet, which forms part of it. In summary:</w:t>
      </w:r>
    </w:p>
    <w:p>
      <w:pPr>
        <w:spacing w:after="120" w:before="0" w:line="276"/>
      </w:pPr>
      <w:r>
        <w:rPr>
          <w:rFonts w:ascii="Calibri" w:cs="Calibri" w:eastAsia="Calibri" w:hAnsi="Calibri"/>
          <w:b/>
          <w:bCs/>
          <w:color w:val="1A1A1A"/>
          <w:sz w:val="20"/>
          <w:szCs w:val="20"/>
        </w:rPr>
        <w:t xml:space="preserve">Core identity</w:t>
      </w:r>
      <w:r>
        <w:rPr>
          <w:rFonts w:ascii="Calibri" w:cs="Calibri" w:eastAsia="Calibri" w:hAnsi="Calibri"/>
          <w:color w:val="1A1A1A"/>
          <w:sz w:val="20"/>
          <w:szCs w:val="20"/>
        </w:rPr>
        <w:t xml:space="preserve"> — primary wordmark and secondary lockup; a brand mark that works standalone at 8mm; colour palette including a flavour-coding system covering five SKUs; typography; illustration style with one fully worked hero illustration plus supporting assets.</w:t>
      </w:r>
    </w:p>
    <w:p>
      <w:pPr>
        <w:spacing w:after="120" w:before="0" w:line="276"/>
      </w:pPr>
      <w:r>
        <w:rPr>
          <w:rFonts w:ascii="Calibri" w:cs="Calibri" w:eastAsia="Calibri" w:hAnsi="Calibri"/>
          <w:b/>
          <w:bCs/>
          <w:color w:val="1A1A1A"/>
          <w:sz w:val="20"/>
          <w:szCs w:val="20"/>
        </w:rPr>
        <w:t xml:space="preserve">Packaging</w:t>
      </w:r>
      <w:r>
        <w:rPr>
          <w:rFonts w:ascii="Calibri" w:cs="Calibri" w:eastAsia="Calibri" w:hAnsi="Calibri"/>
          <w:color w:val="1A1A1A"/>
          <w:sz w:val="20"/>
          <w:szCs w:val="20"/>
        </w:rPr>
        <w:t xml:space="preserve"> — tin artwork (lid, base, sides) for the launch flavour, strong peppermint, to the supplier's dieline (96 x 61.5 x 21 mm); display box artwork; shipper carton markings. The Company launches with one flavour, so the deliverable is one set of tin artwork </w:t>
      </w:r>
      <w:r>
        <w:rPr>
          <w:rFonts w:ascii="Calibri" w:cs="Calibri" w:eastAsia="Calibri" w:hAnsi="Calibri"/>
          <w:b/>
          <w:bCs/>
          <w:color w:val="1A1A1A"/>
          <w:sz w:val="20"/>
          <w:szCs w:val="20"/>
        </w:rPr>
        <w:t xml:space="preserve">plus a flavour-coding system that lets further flavours be applied without redesigning the identity</w:t>
      </w:r>
      <w:r>
        <w:rPr>
          <w:rFonts w:ascii="Calibri" w:cs="Calibri" w:eastAsia="Calibri" w:hAnsi="Calibri"/>
          <w:color w:val="1A1A1A"/>
          <w:sz w:val="20"/>
          <w:szCs w:val="20"/>
        </w:rPr>
        <w:t xml:space="preserve">. Artwork for additional flavours, when the Company adds them, is separate paid work under clause 9.</w:t>
      </w:r>
    </w:p>
    <w:p>
      <w:pPr>
        <w:spacing w:after="120" w:before="0" w:line="276"/>
      </w:pPr>
      <w:r>
        <w:rPr>
          <w:rFonts w:ascii="Calibri" w:cs="Calibri" w:eastAsia="Calibri" w:hAnsi="Calibri"/>
          <w:b/>
          <w:bCs/>
          <w:color w:val="1A1A1A"/>
          <w:sz w:val="20"/>
          <w:szCs w:val="20"/>
        </w:rPr>
        <w:t xml:space="preserve">Applications</w:t>
      </w:r>
      <w:r>
        <w:rPr>
          <w:rFonts w:ascii="Calibri" w:cs="Calibri" w:eastAsia="Calibri" w:hAnsi="Calibri"/>
          <w:color w:val="1A1A1A"/>
          <w:sz w:val="20"/>
          <w:szCs w:val="20"/>
        </w:rPr>
        <w:t xml:space="preserve"> — pro-shop counter display and sampling kit; social templates; merchandise starters (cap, tee bag, ball marker, towel); digital logo suite and favicon.</w:t>
      </w:r>
    </w:p>
    <w:p>
      <w:pPr>
        <w:spacing w:after="120" w:before="0" w:line="276"/>
      </w:pPr>
      <w:r>
        <w:rPr>
          <w:rFonts w:ascii="Calibri" w:cs="Calibri" w:eastAsia="Calibri" w:hAnsi="Calibri"/>
          <w:b/>
          <w:bCs/>
          <w:color w:val="1A1A1A"/>
          <w:sz w:val="20"/>
          <w:szCs w:val="20"/>
        </w:rPr>
        <w:t xml:space="preserve">The brand book</w:t>
      </w:r>
      <w:r>
        <w:rPr>
          <w:rFonts w:ascii="Calibri" w:cs="Calibri" w:eastAsia="Calibri" w:hAnsi="Calibri"/>
          <w:color w:val="1A1A1A"/>
          <w:sz w:val="20"/>
          <w:szCs w:val="20"/>
        </w:rPr>
        <w:t xml:space="preserve"> — full guidelines covering identity, tone of voice, do's and don'ts, and the brand story.</w:t>
      </w:r>
    </w:p>
    <w:p>
      <w:pPr>
        <w:spacing w:after="120" w:before="0" w:line="276"/>
      </w:pPr>
      <w:r>
        <w:rPr>
          <w:rFonts w:ascii="Calibri" w:cs="Calibri" w:eastAsia="Calibri" w:hAnsi="Calibri"/>
          <w:b/>
          <w:bCs/>
          <w:color w:val="1A1A1A"/>
          <w:sz w:val="20"/>
          <w:szCs w:val="20"/>
        </w:rPr>
        <w:t xml:space="preserve">Files</w:t>
      </w:r>
      <w:r>
        <w:rPr>
          <w:rFonts w:ascii="Calibri" w:cs="Calibri" w:eastAsia="Calibri" w:hAnsi="Calibri"/>
          <w:color w:val="1A1A1A"/>
          <w:sz w:val="20"/>
          <w:szCs w:val="20"/>
        </w:rPr>
        <w:t xml:space="preserve"> — all working files (.ai, .psd, .indd) plus print-ready and screen exports of every deliverable.</w:t>
      </w:r>
    </w:p>
    <w:p>
      <w:pPr>
        <w:pStyle w:val="Heading2"/>
        <w:spacing w:after="100" w:before="220"/>
      </w:pPr>
      <w:r>
        <w:rPr>
          <w:rFonts w:ascii="Calibri" w:cs="Calibri" w:eastAsia="Calibri" w:hAnsi="Calibri"/>
          <w:b/>
          <w:bCs/>
          <w:color w:val="8A6D1F"/>
          <w:sz w:val="21"/>
          <w:szCs w:val="21"/>
        </w:rPr>
        <w:t xml:space="preserve">Two constraints that are not negotiable</w:t>
      </w:r>
    </w:p>
    <w:p>
      <w:pPr>
        <w:spacing w:after="120" w:before="0" w:line="276"/>
      </w:pPr>
      <w:r>
        <w:rPr>
          <w:rFonts w:ascii="Calibri" w:cs="Calibri" w:eastAsia="Calibri" w:hAnsi="Calibri"/>
          <w:b/>
          <w:bCs/>
          <w:color w:val="1A1A1A"/>
          <w:sz w:val="20"/>
          <w:szCs w:val="20"/>
        </w:rPr>
        <w:t xml:space="preserve">Origin. </w:t>
      </w:r>
      <w:r>
        <w:rPr>
          <w:rFonts w:ascii="Calibri" w:cs="Calibri" w:eastAsia="Calibri" w:hAnsi="Calibri"/>
          <w:color w:val="1A1A1A"/>
          <w:sz w:val="20"/>
          <w:szCs w:val="20"/>
        </w:rPr>
        <w:t xml:space="preserve">The product is manufactured in China and the Company is South African. The Irish design reference must work as character and homage — never as a claim of provenance. No “Product of Ireland”, no “Irish recipe”, no shamrock-and-Gaelic lockup that functions as a country-of-origin mark.</w:t>
      </w:r>
    </w:p>
    <w:p>
      <w:pPr>
        <w:spacing w:after="120" w:before="0" w:line="276"/>
      </w:pPr>
      <w:r>
        <w:rPr>
          <w:rFonts w:ascii="Calibri" w:cs="Calibri" w:eastAsia="Calibri" w:hAnsi="Calibri"/>
          <w:b/>
          <w:bCs/>
          <w:color w:val="1A1A1A"/>
          <w:sz w:val="20"/>
          <w:szCs w:val="20"/>
        </w:rPr>
        <w:t xml:space="preserve">Regulatory space. </w:t>
      </w:r>
      <w:r>
        <w:rPr>
          <w:rFonts w:ascii="Calibri" w:cs="Calibri" w:eastAsia="Calibri" w:hAnsi="Calibri"/>
          <w:color w:val="1A1A1A"/>
          <w:sz w:val="20"/>
          <w:szCs w:val="20"/>
        </w:rPr>
        <w:t xml:space="preserve">The tin must carry ingredients, a nutritional table, sweetener declarations, allergens, net weight, country of origin, importer details, batch code and best-before date — and must leave physical room for a front-of-pack warning logo under draft regulation R3337, whether or not one is required at launch.</w:t>
      </w:r>
    </w:p>
    <w:p>
      <w:pPr>
        <w:pStyle w:val="Heading1"/>
        <w:spacing w:after="140" w:before="320"/>
      </w:pPr>
      <w:r>
        <w:rPr>
          <w:rFonts w:ascii="Calibri" w:cs="Calibri" w:eastAsia="Calibri" w:hAnsi="Calibri"/>
          <w:b/>
          <w:bCs/>
          <w:color w:val="0B3D2E"/>
          <w:sz w:val="26"/>
          <w:szCs w:val="26"/>
        </w:rPr>
        <w:t xml:space="preserve">4.  Timing</w:t>
      </w:r>
    </w:p>
    <w:tbl>
      <w:tblPr>
        <w:tblW w:type="dxa" w:w="9360"/>
        <w:tblBorders>
          <w:top w:val="single" w:color="C9C9C9" w:sz="4"/>
          <w:left w:val="single" w:color="C9C9C9" w:sz="4"/>
          <w:bottom w:val="single" w:color="C9C9C9" w:sz="4"/>
          <w:right w:val="single" w:color="C9C9C9" w:sz="4"/>
          <w:insideH w:val="single" w:color="C9C9C9" w:sz="2"/>
          <w:insideV w:val="single" w:color="C9C9C9" w:sz="2"/>
        </w:tblBorders>
      </w:tblPr>
      <w:tblGrid>
        <w:gridCol w:w="6560"/>
        <w:gridCol w:w="2800"/>
      </w:tblGrid>
      <w:tr>
        <w:trPr>
          <w:tblHeader/>
        </w:trPr>
        <w:tc>
          <w:tcPr>
            <w:tcW w:type="dxa" w:w="6560"/>
            <w:shd w:fill="EAF0EC" w:color="auto" w:val="clear"/>
            <w:tcMar>
              <w:top w:type="dxa" w:w="90"/>
              <w:left w:type="dxa" w:w="130"/>
              <w:bottom w:type="dxa" w:w="90"/>
              <w:right w:type="dxa" w:w="130"/>
            </w:tcMar>
          </w:tcPr>
          <w:p>
            <w:pPr>
              <w:spacing w:after="0" w:line="260"/>
            </w:pPr>
            <w:r>
              <w:rPr>
                <w:rFonts w:ascii="Calibri" w:cs="Calibri" w:eastAsia="Calibri" w:hAnsi="Calibri"/>
                <w:b/>
                <w:bCs/>
                <w:color w:val="0B3D2E"/>
                <w:sz w:val="19"/>
                <w:szCs w:val="19"/>
              </w:rPr>
              <w:t xml:space="preserve">Stage</w:t>
            </w:r>
          </w:p>
        </w:tc>
        <w:tc>
          <w:tcPr>
            <w:tcW w:type="dxa" w:w="2800"/>
            <w:shd w:fill="EAF0EC" w:color="auto" w:val="clear"/>
            <w:tcMar>
              <w:top w:type="dxa" w:w="90"/>
              <w:left w:type="dxa" w:w="130"/>
              <w:bottom w:type="dxa" w:w="90"/>
              <w:right w:type="dxa" w:w="130"/>
            </w:tcMar>
          </w:tcPr>
          <w:p>
            <w:pPr>
              <w:spacing w:after="0" w:line="260"/>
            </w:pPr>
            <w:r>
              <w:rPr>
                <w:rFonts w:ascii="Calibri" w:cs="Calibri" w:eastAsia="Calibri" w:hAnsi="Calibri"/>
                <w:b/>
                <w:bCs/>
                <w:color w:val="0B3D2E"/>
                <w:sz w:val="19"/>
                <w:szCs w:val="19"/>
              </w:rPr>
              <w:t xml:space="preserve">Working target</w:t>
            </w:r>
          </w:p>
        </w:tc>
      </w:tr>
      <w:tr>
        <w:trPr>
          <w:tblHeader w:val="false"/>
        </w:trPr>
        <w:tc>
          <w:tcPr>
            <w:tcW w:type="dxa" w:w="6560"/>
            <w:shd w:fill="F7F9F7"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Kick-off</w:t>
            </w:r>
          </w:p>
        </w:tc>
        <w:tc>
          <w:tcPr>
            <w:tcW w:type="dxa" w:w="2800"/>
            <w:shd w:fill="F7F9F7"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On signature</w:t>
            </w:r>
          </w:p>
        </w:tc>
      </w:tr>
      <w:tr>
        <w:trPr>
          <w:tblHeader w:val="false"/>
        </w:trPr>
        <w:tc>
          <w:tcPr>
            <w:tcW w:type="dxa" w:w="656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Concept routes (2–3 distinct directions)</w:t>
            </w:r>
          </w:p>
        </w:tc>
        <w:tc>
          <w:tcPr>
            <w:tcW w:type="dxa" w:w="28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 weeks</w:t>
            </w:r>
          </w:p>
        </w:tc>
      </w:tr>
      <w:tr>
        <w:trPr>
          <w:tblHeader w:val="false"/>
        </w:trPr>
        <w:tc>
          <w:tcPr>
            <w:tcW w:type="dxa" w:w="6560"/>
            <w:shd w:fill="F7F9F7"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Refinement</w:t>
            </w:r>
          </w:p>
        </w:tc>
        <w:tc>
          <w:tcPr>
            <w:tcW w:type="dxa" w:w="2800"/>
            <w:shd w:fill="F7F9F7"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 week</w:t>
            </w:r>
          </w:p>
        </w:tc>
      </w:tr>
      <w:tr>
        <w:trPr>
          <w:tblHeader w:val="false"/>
        </w:trPr>
        <w:tc>
          <w:tcPr>
            <w:tcW w:type="dxa" w:w="656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Full identity and packaging artwork</w:t>
            </w:r>
          </w:p>
        </w:tc>
        <w:tc>
          <w:tcPr>
            <w:tcW w:type="dxa" w:w="28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 weeks</w:t>
            </w:r>
          </w:p>
        </w:tc>
      </w:tr>
      <w:tr>
        <w:trPr>
          <w:tblHeader w:val="false"/>
        </w:trPr>
        <w:tc>
          <w:tcPr>
            <w:tcW w:type="dxa" w:w="6560"/>
            <w:shd w:fill="F7F9F7"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Brand book</w:t>
            </w:r>
          </w:p>
        </w:tc>
        <w:tc>
          <w:tcPr>
            <w:tcW w:type="dxa" w:w="2800"/>
            <w:shd w:fill="F7F9F7"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 weeks</w:t>
            </w:r>
          </w:p>
        </w:tc>
      </w:tr>
      <w:tr>
        <w:trPr>
          <w:tblHeader w:val="false"/>
        </w:trPr>
        <w:tc>
          <w:tcPr>
            <w:tcW w:type="dxa" w:w="6560"/>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Total</w:t>
            </w:r>
          </w:p>
        </w:tc>
        <w:tc>
          <w:tcPr>
            <w:tcW w:type="dxa" w:w="2800"/>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8 weeks</w:t>
            </w:r>
          </w:p>
        </w:tc>
      </w:tr>
    </w:tbl>
    <w:p>
      <w:pPr>
        <w:spacing w:after="120"/>
      </w:pPr>
      <w:r>
        <w:rPr>
          <w:sz w:val="2"/>
          <w:szCs w:val="2"/>
        </w:rPr>
        <w:t xml:space="preserve"/>
      </w:r>
    </w:p>
    <w:p>
      <w:pPr>
        <w:spacing w:after="120" w:before="0" w:line="276"/>
      </w:pPr>
      <w:r>
        <w:rPr>
          <w:rFonts w:ascii="Calibri" w:cs="Calibri" w:eastAsia="Calibri" w:hAnsi="Calibri"/>
          <w:color w:val="1A1A1A"/>
          <w:sz w:val="20"/>
          <w:szCs w:val="20"/>
        </w:rPr>
        <w:t xml:space="preserve">Production-ready packaging artwork must be with the supplier by </w:t>
      </w:r>
      <w:r>
        <w:rPr>
          <w:rFonts w:ascii="Calibri" w:cs="Calibri" w:eastAsia="Calibri" w:hAnsi="Calibri"/>
          <w:b/>
          <w:bCs/>
          <w:color w:val="1A1A1A"/>
          <w:sz w:val="20"/>
          <w:szCs w:val="20"/>
        </w:rPr>
        <w:t xml:space="preserve">month 4 of the Company's plan</w:t>
      </w:r>
      <w:r>
        <w:rPr>
          <w:rFonts w:ascii="Calibri" w:cs="Calibri" w:eastAsia="Calibri" w:hAnsi="Calibri"/>
          <w:color w:val="1A1A1A"/>
          <w:sz w:val="20"/>
          <w:szCs w:val="20"/>
        </w:rPr>
        <w:t xml:space="preserve"> to hold the launch date. Both sides will work to that.</w:t>
      </w:r>
    </w:p>
    <w:p>
      <w:pPr>
        <w:spacing w:after="120" w:before="0" w:line="276"/>
      </w:pPr>
      <w:r>
        <w:rPr>
          <w:rFonts w:ascii="Calibri" w:cs="Calibri" w:eastAsia="Calibri" w:hAnsi="Calibri"/>
          <w:b/>
          <w:bCs/>
          <w:color w:val="1A1A1A"/>
          <w:sz w:val="20"/>
          <w:szCs w:val="20"/>
        </w:rPr>
        <w:t xml:space="preserve">Longstop date. </w:t>
      </w:r>
      <w:r>
        <w:rPr>
          <w:rFonts w:ascii="Calibri" w:cs="Calibri" w:eastAsia="Calibri" w:hAnsi="Calibri"/>
          <w:color w:val="1A1A1A"/>
          <w:sz w:val="20"/>
          <w:szCs w:val="20"/>
        </w:rPr>
        <w:t xml:space="preserve">If the Deliverables are not complete within </w:t>
      </w:r>
      <w:r>
        <w:rPr>
          <w:rFonts w:ascii="Calibri" w:cs="Calibri" w:eastAsia="Calibri" w:hAnsi="Calibri"/>
          <w:b/>
          <w:bCs/>
          <w:color w:val="1A1A1A"/>
          <w:sz w:val="20"/>
          <w:szCs w:val="20"/>
        </w:rPr>
        <w:t xml:space="preserve">six months</w:t>
      </w:r>
      <w:r>
        <w:rPr>
          <w:rFonts w:ascii="Calibri" w:cs="Calibri" w:eastAsia="Calibri" w:hAnsi="Calibri"/>
          <w:color w:val="1A1A1A"/>
          <w:sz w:val="20"/>
          <w:szCs w:val="20"/>
        </w:rPr>
        <w:t xml:space="preserve"> of signature, any shares that have not vested by then lapse and are repurchased under clause 5 — unless the delay is caused by the Company, in which case the clock stops for as long as the Company holds things up.</w:t>
      </w:r>
    </w:p>
    <w:p>
      <w:pPr>
        <w:pStyle w:val="Heading1"/>
        <w:spacing w:after="140" w:before="320"/>
      </w:pPr>
      <w:r>
        <w:rPr>
          <w:rFonts w:ascii="Calibri" w:cs="Calibri" w:eastAsia="Calibri" w:hAnsi="Calibri"/>
          <w:b/>
          <w:bCs/>
          <w:color w:val="0B3D2E"/>
          <w:sz w:val="26"/>
          <w:szCs w:val="26"/>
        </w:rPr>
        <w:t xml:space="preserve">5.  Vesting</w:t>
      </w:r>
    </w:p>
    <w:p>
      <w:pPr>
        <w:spacing w:after="120" w:before="0" w:line="276"/>
      </w:pPr>
      <w:r>
        <w:rPr>
          <w:rFonts w:ascii="Calibri" w:cs="Calibri" w:eastAsia="Calibri" w:hAnsi="Calibri"/>
          <w:color w:val="1A1A1A"/>
          <w:sz w:val="20"/>
          <w:szCs w:val="20"/>
        </w:rPr>
        <w:t xml:space="preserve">PJ's shares are </w:t>
      </w:r>
      <w:r>
        <w:rPr>
          <w:rFonts w:ascii="Calibri" w:cs="Calibri" w:eastAsia="Calibri" w:hAnsi="Calibri"/>
          <w:b/>
          <w:bCs/>
          <w:color w:val="1A1A1A"/>
          <w:sz w:val="20"/>
          <w:szCs w:val="20"/>
        </w:rPr>
        <w:t xml:space="preserve">issued in full on signature</w:t>
      </w:r>
      <w:r>
        <w:rPr>
          <w:rFonts w:ascii="Calibri" w:cs="Calibri" w:eastAsia="Calibri" w:hAnsi="Calibri"/>
          <w:color w:val="1A1A1A"/>
          <w:sz w:val="20"/>
          <w:szCs w:val="20"/>
        </w:rPr>
        <w:t xml:space="preserve">, so he is a shareholder from day one with a shareholder's rights. They are subject to a </w:t>
      </w:r>
      <w:r>
        <w:rPr>
          <w:rFonts w:ascii="Calibri" w:cs="Calibri" w:eastAsia="Calibri" w:hAnsi="Calibri"/>
          <w:b/>
          <w:bCs/>
          <w:color w:val="1A1A1A"/>
          <w:sz w:val="20"/>
          <w:szCs w:val="20"/>
        </w:rPr>
        <w:t xml:space="preserve">repurchase right</w:t>
      </w:r>
      <w:r>
        <w:rPr>
          <w:rFonts w:ascii="Calibri" w:cs="Calibri" w:eastAsia="Calibri" w:hAnsi="Calibri"/>
          <w:color w:val="1A1A1A"/>
          <w:sz w:val="20"/>
          <w:szCs w:val="20"/>
        </w:rPr>
        <w:t xml:space="preserve">: the Company may buy back any unvested shares for </w:t>
      </w:r>
      <w:r>
        <w:rPr>
          <w:rFonts w:ascii="Calibri" w:cs="Calibri" w:eastAsia="Calibri" w:hAnsi="Calibri"/>
          <w:b/>
          <w:bCs/>
          <w:color w:val="1A1A1A"/>
          <w:sz w:val="20"/>
          <w:szCs w:val="20"/>
        </w:rPr>
        <w:t xml:space="preserve">R1 in total</w:t>
      </w:r>
      <w:r>
        <w:rPr>
          <w:rFonts w:ascii="Calibri" w:cs="Calibri" w:eastAsia="Calibri" w:hAnsi="Calibri"/>
          <w:color w:val="1A1A1A"/>
          <w:sz w:val="20"/>
          <w:szCs w:val="20"/>
        </w:rPr>
        <w:t xml:space="preserve"> if the relationship ends before the work is finished.</w:t>
      </w:r>
    </w:p>
    <w:p>
      <w:pPr>
        <w:spacing w:after="120" w:before="0" w:line="276"/>
      </w:pPr>
      <w:r>
        <w:rPr>
          <w:rFonts w:ascii="Calibri" w:cs="Calibri" w:eastAsia="Calibri" w:hAnsi="Calibri"/>
          <w:color w:val="1A1A1A"/>
          <w:sz w:val="20"/>
          <w:szCs w:val="20"/>
        </w:rPr>
        <w:t xml:space="preserve">The repurchase right falls away in four tranches:</w:t>
      </w:r>
    </w:p>
    <w:tbl>
      <w:tblPr>
        <w:tblW w:type="dxa" w:w="9360"/>
        <w:tblBorders>
          <w:top w:val="single" w:color="C9C9C9" w:sz="4"/>
          <w:left w:val="single" w:color="C9C9C9" w:sz="4"/>
          <w:bottom w:val="single" w:color="C9C9C9" w:sz="4"/>
          <w:right w:val="single" w:color="C9C9C9" w:sz="4"/>
          <w:insideH w:val="single" w:color="C9C9C9" w:sz="2"/>
          <w:insideV w:val="single" w:color="C9C9C9" w:sz="2"/>
        </w:tblBorders>
      </w:tblPr>
      <w:tblGrid>
        <w:gridCol w:w="1000"/>
        <w:gridCol w:w="6560"/>
        <w:gridCol w:w="1800"/>
      </w:tblGrid>
      <w:tr>
        <w:trPr>
          <w:tblHeader/>
        </w:trPr>
        <w:tc>
          <w:tcPr>
            <w:tcW w:type="dxa" w:w="1000"/>
            <w:shd w:fill="EAF0EC" w:color="auto" w:val="clear"/>
            <w:tcMar>
              <w:top w:type="dxa" w:w="90"/>
              <w:left w:type="dxa" w:w="130"/>
              <w:bottom w:type="dxa" w:w="90"/>
              <w:right w:type="dxa" w:w="130"/>
            </w:tcMar>
          </w:tcPr>
          <w:p>
            <w:pPr>
              <w:spacing w:after="0" w:line="260"/>
            </w:pPr>
            <w:r>
              <w:rPr>
                <w:rFonts w:ascii="Calibri" w:cs="Calibri" w:eastAsia="Calibri" w:hAnsi="Calibri"/>
                <w:b/>
                <w:bCs/>
                <w:color w:val="0B3D2E"/>
                <w:sz w:val="19"/>
                <w:szCs w:val="19"/>
              </w:rPr>
              <w:t xml:space="preserve">Tranche</w:t>
            </w:r>
          </w:p>
        </w:tc>
        <w:tc>
          <w:tcPr>
            <w:tcW w:type="dxa" w:w="6560"/>
            <w:shd w:fill="EAF0EC" w:color="auto" w:val="clear"/>
            <w:tcMar>
              <w:top w:type="dxa" w:w="90"/>
              <w:left w:type="dxa" w:w="130"/>
              <w:bottom w:type="dxa" w:w="90"/>
              <w:right w:type="dxa" w:w="130"/>
            </w:tcMar>
          </w:tcPr>
          <w:p>
            <w:pPr>
              <w:spacing w:after="0" w:line="260"/>
              <w:jc w:val="left"/>
            </w:pPr>
            <w:r>
              <w:rPr>
                <w:rFonts w:ascii="Calibri" w:cs="Calibri" w:eastAsia="Calibri" w:hAnsi="Calibri"/>
                <w:b/>
                <w:bCs/>
                <w:color w:val="0B3D2E"/>
                <w:sz w:val="19"/>
                <w:szCs w:val="19"/>
              </w:rPr>
              <w:t xml:space="preserve">Vests on</w:t>
            </w:r>
          </w:p>
        </w:tc>
        <w:tc>
          <w:tcPr>
            <w:tcW w:type="dxa" w:w="1800"/>
            <w:shd w:fill="EAF0EC" w:color="auto" w:val="clear"/>
            <w:tcMar>
              <w:top w:type="dxa" w:w="90"/>
              <w:left w:type="dxa" w:w="130"/>
              <w:bottom w:type="dxa" w:w="90"/>
              <w:right w:type="dxa" w:w="130"/>
            </w:tcMar>
          </w:tcPr>
          <w:p>
            <w:pPr>
              <w:spacing w:after="0" w:line="260"/>
              <w:jc w:val="left"/>
            </w:pPr>
            <w:r>
              <w:rPr>
                <w:rFonts w:ascii="Calibri" w:cs="Calibri" w:eastAsia="Calibri" w:hAnsi="Calibri"/>
                <w:b/>
                <w:bCs/>
                <w:color w:val="0B3D2E"/>
                <w:sz w:val="19"/>
                <w:szCs w:val="19"/>
              </w:rPr>
              <w:t xml:space="preserve">Portion</w:t>
            </w:r>
          </w:p>
        </w:tc>
      </w:tr>
      <w:tr>
        <w:trPr>
          <w:tblHeader w:val="false"/>
        </w:trPr>
        <w:tc>
          <w:tcPr>
            <w:tcW w:type="dxa" w:w="1000"/>
            <w:shd w:fill="F7F9F7"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w:t>
            </w:r>
          </w:p>
        </w:tc>
        <w:tc>
          <w:tcPr>
            <w:tcW w:type="dxa" w:w="6560"/>
            <w:shd w:fill="F7F9F7" w:color="auto"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19"/>
                <w:szCs w:val="19"/>
              </w:rPr>
              <w:t xml:space="preserve">Signature of this term sheet and the definitive documents</w:t>
            </w:r>
          </w:p>
        </w:tc>
        <w:tc>
          <w:tcPr>
            <w:tcW w:type="dxa" w:w="1800"/>
            <w:shd w:fill="F7F9F7" w:color="auto" w:val="clear"/>
            <w:tcMar>
              <w:top w:type="dxa" w:w="90"/>
              <w:left w:type="dxa" w:w="130"/>
              <w:bottom w:type="dxa" w:w="90"/>
              <w:right w:type="dxa" w:w="130"/>
            </w:tcMar>
          </w:tcPr>
          <w:p>
            <w:pPr>
              <w:spacing w:after="0" w:line="260"/>
              <w:jc w:val="left"/>
            </w:pPr>
            <w:r>
              <w:rPr>
                <w:rFonts w:ascii="Calibri" w:cs="Calibri" w:eastAsia="Calibri" w:hAnsi="Calibri"/>
                <w:b/>
                <w:bCs/>
                <w:color w:val="1A1A1A"/>
                <w:sz w:val="19"/>
                <w:szCs w:val="19"/>
              </w:rPr>
              <w:t xml:space="preserve">20%</w:t>
            </w:r>
          </w:p>
        </w:tc>
      </w:tr>
      <w:tr>
        <w:trPr>
          <w:tblHeader w:val="false"/>
        </w:trPr>
        <w:tc>
          <w:tcPr>
            <w:tcW w:type="dxa" w:w="1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w:t>
            </w:r>
          </w:p>
        </w:tc>
        <w:tc>
          <w:tcPr>
            <w:tcW w:type="dxa" w:w="6560"/>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19"/>
                <w:szCs w:val="19"/>
              </w:rPr>
              <w:t xml:space="preserve">Written acceptance by the Company of the final core identity</w:t>
            </w:r>
          </w:p>
        </w:tc>
        <w:tc>
          <w:tcPr>
            <w:tcW w:type="dxa" w:w="1800"/>
            <w:tcMar>
              <w:top w:type="dxa" w:w="90"/>
              <w:left w:type="dxa" w:w="130"/>
              <w:bottom w:type="dxa" w:w="90"/>
              <w:right w:type="dxa" w:w="130"/>
            </w:tcMar>
          </w:tcPr>
          <w:p>
            <w:pPr>
              <w:spacing w:after="0" w:line="260"/>
              <w:jc w:val="left"/>
            </w:pPr>
            <w:r>
              <w:rPr>
                <w:rFonts w:ascii="Calibri" w:cs="Calibri" w:eastAsia="Calibri" w:hAnsi="Calibri"/>
                <w:b/>
                <w:bCs/>
                <w:color w:val="1A1A1A"/>
                <w:sz w:val="19"/>
                <w:szCs w:val="19"/>
              </w:rPr>
              <w:t xml:space="preserve">25%</w:t>
            </w:r>
          </w:p>
        </w:tc>
      </w:tr>
      <w:tr>
        <w:trPr>
          <w:tblHeader w:val="false"/>
        </w:trPr>
        <w:tc>
          <w:tcPr>
            <w:tcW w:type="dxa" w:w="1000"/>
            <w:shd w:fill="F7F9F7"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w:t>
            </w:r>
          </w:p>
        </w:tc>
        <w:tc>
          <w:tcPr>
            <w:tcW w:type="dxa" w:w="6560"/>
            <w:shd w:fill="F7F9F7" w:color="auto"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19"/>
                <w:szCs w:val="19"/>
              </w:rPr>
              <w:t xml:space="preserve">Delivery of production-ready packaging artwork, accepted by the Company and confirmed as printable by the tin supplier</w:t>
            </w:r>
          </w:p>
        </w:tc>
        <w:tc>
          <w:tcPr>
            <w:tcW w:type="dxa" w:w="1800"/>
            <w:shd w:fill="F7F9F7" w:color="auto" w:val="clear"/>
            <w:tcMar>
              <w:top w:type="dxa" w:w="90"/>
              <w:left w:type="dxa" w:w="130"/>
              <w:bottom w:type="dxa" w:w="90"/>
              <w:right w:type="dxa" w:w="130"/>
            </w:tcMar>
          </w:tcPr>
          <w:p>
            <w:pPr>
              <w:spacing w:after="0" w:line="260"/>
              <w:jc w:val="left"/>
            </w:pPr>
            <w:r>
              <w:rPr>
                <w:rFonts w:ascii="Calibri" w:cs="Calibri" w:eastAsia="Calibri" w:hAnsi="Calibri"/>
                <w:b/>
                <w:bCs/>
                <w:color w:val="1A1A1A"/>
                <w:sz w:val="19"/>
                <w:szCs w:val="19"/>
              </w:rPr>
              <w:t xml:space="preserve">30%</w:t>
            </w:r>
          </w:p>
        </w:tc>
      </w:tr>
      <w:tr>
        <w:trPr>
          <w:tblHeader w:val="false"/>
        </w:trPr>
        <w:tc>
          <w:tcPr>
            <w:tcW w:type="dxa" w:w="1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4</w:t>
            </w:r>
          </w:p>
        </w:tc>
        <w:tc>
          <w:tcPr>
            <w:tcW w:type="dxa" w:w="6560"/>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19"/>
                <w:szCs w:val="19"/>
              </w:rPr>
              <w:t xml:space="preserve">Delivery of the brand book, all working files, and signed IP assignment</w:t>
            </w:r>
          </w:p>
        </w:tc>
        <w:tc>
          <w:tcPr>
            <w:tcW w:type="dxa" w:w="1800"/>
            <w:tcMar>
              <w:top w:type="dxa" w:w="90"/>
              <w:left w:type="dxa" w:w="130"/>
              <w:bottom w:type="dxa" w:w="90"/>
              <w:right w:type="dxa" w:w="130"/>
            </w:tcMar>
          </w:tcPr>
          <w:p>
            <w:pPr>
              <w:spacing w:after="0" w:line="260"/>
              <w:jc w:val="left"/>
            </w:pPr>
            <w:r>
              <w:rPr>
                <w:rFonts w:ascii="Calibri" w:cs="Calibri" w:eastAsia="Calibri" w:hAnsi="Calibri"/>
                <w:b/>
                <w:bCs/>
                <w:color w:val="1A1A1A"/>
                <w:sz w:val="19"/>
                <w:szCs w:val="19"/>
              </w:rPr>
              <w:t xml:space="preserve">25%</w:t>
            </w:r>
          </w:p>
        </w:tc>
      </w:tr>
    </w:tbl>
    <w:p>
      <w:pPr>
        <w:spacing w:after="120"/>
      </w:pPr>
      <w:r>
        <w:rPr>
          <w:sz w:val="2"/>
          <w:szCs w:val="2"/>
        </w:rPr>
        <w:t xml:space="preserve"/>
      </w:r>
    </w:p>
    <w:p>
      <w:pPr>
        <w:spacing w:after="120" w:before="0" w:line="276"/>
      </w:pPr>
      <w:r>
        <w:rPr>
          <w:rFonts w:ascii="Calibri" w:cs="Calibri" w:eastAsia="Calibri" w:hAnsi="Calibri"/>
          <w:color w:val="1A1A1A"/>
          <w:sz w:val="20"/>
          <w:szCs w:val="20"/>
        </w:rPr>
        <w:t xml:space="preserve">Acceptance will not be unreasonably withheld or delayed. If the Company does not respond in writing within </w:t>
      </w:r>
      <w:r>
        <w:rPr>
          <w:rFonts w:ascii="Calibri" w:cs="Calibri" w:eastAsia="Calibri" w:hAnsi="Calibri"/>
          <w:b/>
          <w:bCs/>
          <w:color w:val="1A1A1A"/>
          <w:sz w:val="20"/>
          <w:szCs w:val="20"/>
        </w:rPr>
        <w:t xml:space="preserve">10 business days</w:t>
      </w:r>
      <w:r>
        <w:rPr>
          <w:rFonts w:ascii="Calibri" w:cs="Calibri" w:eastAsia="Calibri" w:hAnsi="Calibri"/>
          <w:color w:val="1A1A1A"/>
          <w:sz w:val="20"/>
          <w:szCs w:val="20"/>
        </w:rPr>
        <w:t xml:space="preserve"> of a tranche being submitted, that tranche is treated as accepted.</w:t>
      </w:r>
    </w:p>
    <w:p>
      <w:pPr>
        <w:spacing w:after="120" w:before="0" w:line="276"/>
      </w:pPr>
      <w:r>
        <w:rPr>
          <w:rFonts w:ascii="Calibri" w:cs="Calibri" w:eastAsia="Calibri" w:hAnsi="Calibri"/>
          <w:b/>
          <w:bCs/>
          <w:color w:val="1A1A1A"/>
          <w:sz w:val="20"/>
          <w:szCs w:val="20"/>
        </w:rPr>
        <w:t xml:space="preserve">Accelerated vesting. </w:t>
      </w:r>
      <w:r>
        <w:rPr>
          <w:rFonts w:ascii="Calibri" w:cs="Calibri" w:eastAsia="Calibri" w:hAnsi="Calibri"/>
          <w:color w:val="1A1A1A"/>
          <w:sz w:val="20"/>
          <w:szCs w:val="20"/>
        </w:rPr>
        <w:t xml:space="preserve">All unvested shares vest immediately on a sale of the Company, or if the Company terminates the engagement other than for PJ's material breach.</w:t>
      </w:r>
    </w:p>
    <w:p>
      <w:pPr>
        <w:pStyle w:val="Heading1"/>
        <w:spacing w:after="140" w:before="320"/>
      </w:pPr>
      <w:r>
        <w:rPr>
          <w:rFonts w:ascii="Calibri" w:cs="Calibri" w:eastAsia="Calibri" w:hAnsi="Calibri"/>
          <w:b/>
          <w:bCs/>
          <w:color w:val="0B3D2E"/>
          <w:sz w:val="26"/>
          <w:szCs w:val="26"/>
        </w:rPr>
        <w:t xml:space="preserve">6.  Intellectual property — the clause that matters most</w:t>
      </w:r>
    </w:p>
    <w:p>
      <w:pPr>
        <w:spacing w:after="120" w:before="0" w:line="276"/>
      </w:pPr>
      <w:r>
        <w:rPr>
          <w:rFonts w:ascii="Calibri" w:cs="Calibri" w:eastAsia="Calibri" w:hAnsi="Calibri"/>
          <w:b/>
          <w:bCs/>
          <w:color w:val="1A1A1A"/>
          <w:sz w:val="20"/>
          <w:szCs w:val="20"/>
        </w:rPr>
        <w:t xml:space="preserve">All intellectual property in the Deliverables vests in the Company, absolutely and worldwide, in perpetuity.</w:t>
      </w:r>
      <w:r>
        <w:rPr>
          <w:rFonts w:ascii="Calibri" w:cs="Calibri" w:eastAsia="Calibri" w:hAnsi="Calibri"/>
          <w:color w:val="1A1A1A"/>
          <w:sz w:val="20"/>
          <w:szCs w:val="20"/>
        </w:rPr>
        <w:t xml:space="preserve"> That includes copyright, design rights, trade mark rights and all working files, in every medium, for every purpose, including purposes not yet contemplated.</w:t>
      </w:r>
    </w:p>
    <w:p>
      <w:pPr>
        <w:spacing w:after="120" w:before="0" w:line="276"/>
      </w:pPr>
      <w:r>
        <w:rPr>
          <w:rFonts w:ascii="Calibri" w:cs="Calibri" w:eastAsia="Calibri" w:hAnsi="Calibri"/>
          <w:color w:val="1A1A1A"/>
          <w:sz w:val="20"/>
          <w:szCs w:val="20"/>
        </w:rPr>
        <w:t xml:space="preserve">PJ signs a </w:t>
      </w:r>
      <w:r>
        <w:rPr>
          <w:rFonts w:ascii="Calibri" w:cs="Calibri" w:eastAsia="Calibri" w:hAnsi="Calibri"/>
          <w:b/>
          <w:bCs/>
          <w:color w:val="1A1A1A"/>
          <w:sz w:val="20"/>
          <w:szCs w:val="20"/>
        </w:rPr>
        <w:t xml:space="preserve">separate written IP assignment</w:t>
      </w:r>
      <w:r>
        <w:rPr>
          <w:rFonts w:ascii="Calibri" w:cs="Calibri" w:eastAsia="Calibri" w:hAnsi="Calibri"/>
          <w:color w:val="1A1A1A"/>
          <w:sz w:val="20"/>
          <w:szCs w:val="20"/>
        </w:rPr>
        <w:t xml:space="preserve"> in favour of the Company on delivery of each tranche, and a final consolidated assignment on completion. Signing the consolidated assignment is a </w:t>
      </w:r>
      <w:r>
        <w:rPr>
          <w:rFonts w:ascii="Calibri" w:cs="Calibri" w:eastAsia="Calibri" w:hAnsi="Calibri"/>
          <w:b/>
          <w:bCs/>
          <w:color w:val="1A1A1A"/>
          <w:sz w:val="20"/>
          <w:szCs w:val="20"/>
        </w:rPr>
        <w:t xml:space="preserve">condition of tranche 4 vesting</w:t>
      </w:r>
      <w:r>
        <w:rPr>
          <w:rFonts w:ascii="Calibri" w:cs="Calibri" w:eastAsia="Calibri" w:hAnsi="Calibri"/>
          <w:color w:val="1A1A1A"/>
          <w:sz w:val="20"/>
          <w:szCs w:val="20"/>
        </w:rPr>
        <w:t xml:space="preserve">.</w:t>
      </w:r>
    </w:p>
    <w:p>
      <w:pPr>
        <w:spacing w:after="120" w:before="0" w:line="276"/>
      </w:pPr>
      <w:r>
        <w:rPr>
          <w:rFonts w:ascii="Calibri" w:cs="Calibri" w:eastAsia="Calibri" w:hAnsi="Calibri"/>
          <w:color w:val="1A1A1A"/>
          <w:sz w:val="20"/>
          <w:szCs w:val="20"/>
        </w:rPr>
        <w:t xml:space="preserve">South African law does not automatically transfer copyright in commissioned work of this kind to the person who commissioned it. That is why this is written down rather than assumed.</w:t>
      </w:r>
    </w:p>
    <w:p>
      <w:pPr>
        <w:spacing w:after="120" w:before="0" w:line="276"/>
      </w:pPr>
      <w:r>
        <w:rPr>
          <w:rFonts w:ascii="Calibri" w:cs="Calibri" w:eastAsia="Calibri" w:hAnsi="Calibri"/>
          <w:b/>
          <w:bCs/>
          <w:color w:val="1A1A1A"/>
          <w:sz w:val="20"/>
          <w:szCs w:val="20"/>
        </w:rPr>
        <w:t xml:space="preserve">Why it is non-negotiable, said openly: </w:t>
      </w:r>
      <w:r>
        <w:rPr>
          <w:rFonts w:ascii="Calibri" w:cs="Calibri" w:eastAsia="Calibri" w:hAnsi="Calibri"/>
          <w:color w:val="1A1A1A"/>
          <w:sz w:val="20"/>
          <w:szCs w:val="20"/>
        </w:rPr>
        <w:t xml:space="preserve">the Company's five-year plan turns on licensing the brand into other territories from year 4 onward. A licensee's lawyers will examine the chain of title before signing anything. If the Company cannot show it owns the brand outright, there is no licensing business — and PJ's 10% is worth considerably less as a result. Clean ownership is in both parties' interest.</w:t>
      </w:r>
    </w:p>
    <w:p>
      <w:pPr>
        <w:pStyle w:val="Heading2"/>
        <w:spacing w:after="100" w:before="220"/>
      </w:pPr>
      <w:r>
        <w:rPr>
          <w:rFonts w:ascii="Calibri" w:cs="Calibri" w:eastAsia="Calibri" w:hAnsi="Calibri"/>
          <w:b/>
          <w:bCs/>
          <w:color w:val="8A6D1F"/>
          <w:sz w:val="21"/>
          <w:szCs w:val="21"/>
        </w:rPr>
        <w:t xml:space="preserve">PJ warrants that</w:t>
      </w:r>
    </w:p>
    <w:p>
      <w:pPr>
        <w:pStyle w:val="ListParagraph"/>
        <w:numPr>
          <w:ilvl w:val="0"/>
          <w:numId w:val="2"/>
        </w:numPr>
        <w:spacing w:after="90" w:line="276"/>
      </w:pPr>
      <w:r>
        <w:rPr>
          <w:rFonts w:ascii="Calibri" w:cs="Calibri" w:eastAsia="Calibri" w:hAnsi="Calibri"/>
          <w:color w:val="1A1A1A"/>
          <w:sz w:val="20"/>
          <w:szCs w:val="20"/>
        </w:rPr>
        <w:t xml:space="preserve">The Deliverables are his original work and do not infringe anyone else's rights.</w:t>
      </w:r>
    </w:p>
    <w:p>
      <w:pPr>
        <w:pStyle w:val="ListParagraph"/>
        <w:numPr>
          <w:ilvl w:val="0"/>
          <w:numId w:val="2"/>
        </w:numPr>
        <w:spacing w:after="90" w:line="276"/>
      </w:pPr>
      <w:r>
        <w:rPr>
          <w:rFonts w:ascii="Calibri" w:cs="Calibri" w:eastAsia="Calibri" w:hAnsi="Calibri"/>
          <w:color w:val="1A1A1A"/>
          <w:sz w:val="20"/>
          <w:szCs w:val="20"/>
        </w:rPr>
        <w:t xml:space="preserve">Every typeface, image, illustration and asset used is licensed for commercial use, for packaging and unlimited print runs, and that licence is transferable to the Company — at PJ's cost. Font licensing for packaging is a genuine trap and this is where it gets caught.</w:t>
      </w:r>
    </w:p>
    <w:p>
      <w:pPr>
        <w:pStyle w:val="ListParagraph"/>
        <w:numPr>
          <w:ilvl w:val="0"/>
          <w:numId w:val="2"/>
        </w:numPr>
        <w:spacing w:after="90" w:line="276"/>
      </w:pPr>
      <w:r>
        <w:rPr>
          <w:rFonts w:ascii="Calibri" w:cs="Calibri" w:eastAsia="Calibri" w:hAnsi="Calibri"/>
          <w:color w:val="1A1A1A"/>
          <w:sz w:val="20"/>
          <w:szCs w:val="20"/>
        </w:rPr>
        <w:t xml:space="preserve">He will disclose in writing any material generated using AI tools, and where such material forms part of a deliverable, will work with the Company to ensure the Company's ownership is not compromised. This is a disclosure requirement, not a prohibition.</w:t>
      </w:r>
    </w:p>
    <w:p>
      <w:pPr>
        <w:pStyle w:val="ListParagraph"/>
        <w:numPr>
          <w:ilvl w:val="0"/>
          <w:numId w:val="2"/>
        </w:numPr>
        <w:spacing w:after="90" w:line="276"/>
      </w:pPr>
      <w:r>
        <w:rPr>
          <w:rFonts w:ascii="Calibri" w:cs="Calibri" w:eastAsia="Calibri" w:hAnsi="Calibri"/>
          <w:color w:val="1A1A1A"/>
          <w:sz w:val="20"/>
          <w:szCs w:val="20"/>
        </w:rPr>
        <w:t xml:space="preserve">He has not granted anyone else rights in the Deliverables.</w:t>
      </w:r>
    </w:p>
    <w:p>
      <w:pPr>
        <w:pStyle w:val="Heading2"/>
        <w:spacing w:after="100" w:before="220"/>
      </w:pPr>
      <w:r>
        <w:rPr>
          <w:rFonts w:ascii="Calibri" w:cs="Calibri" w:eastAsia="Calibri" w:hAnsi="Calibri"/>
          <w:b/>
          <w:bCs/>
          <w:color w:val="8A6D1F"/>
          <w:sz w:val="21"/>
          <w:szCs w:val="21"/>
        </w:rPr>
        <w:t xml:space="preserve">What PJ keeps</w:t>
      </w:r>
    </w:p>
    <w:p>
      <w:pPr>
        <w:spacing w:after="120" w:before="0" w:line="276"/>
      </w:pPr>
      <w:r>
        <w:rPr>
          <w:rFonts w:ascii="Calibri" w:cs="Calibri" w:eastAsia="Calibri" w:hAnsi="Calibri"/>
          <w:b/>
          <w:bCs/>
          <w:color w:val="1A1A1A"/>
          <w:sz w:val="20"/>
          <w:szCs w:val="20"/>
        </w:rPr>
        <w:t xml:space="preserve">Attribution. </w:t>
      </w:r>
      <w:r>
        <w:rPr>
          <w:rFonts w:ascii="Calibri" w:cs="Calibri" w:eastAsia="Calibri" w:hAnsi="Calibri"/>
          <w:color w:val="1A1A1A"/>
          <w:sz w:val="20"/>
          <w:szCs w:val="20"/>
        </w:rPr>
        <w:t xml:space="preserve">PJ is credited as the designer of the Mulligan Mints brand in the brand book, on the Company's website, and in press and award submissions where a design credit is customary.</w:t>
      </w:r>
    </w:p>
    <w:p>
      <w:pPr>
        <w:spacing w:after="120" w:before="0" w:line="276"/>
      </w:pPr>
      <w:r>
        <w:rPr>
          <w:rFonts w:ascii="Calibri" w:cs="Calibri" w:eastAsia="Calibri" w:hAnsi="Calibri"/>
          <w:b/>
          <w:bCs/>
          <w:color w:val="1A1A1A"/>
          <w:sz w:val="20"/>
          <w:szCs w:val="20"/>
        </w:rPr>
        <w:t xml:space="preserve">Portfolio rights. </w:t>
      </w:r>
      <w:r>
        <w:rPr>
          <w:rFonts w:ascii="Calibri" w:cs="Calibri" w:eastAsia="Calibri" w:hAnsi="Calibri"/>
          <w:color w:val="1A1A1A"/>
          <w:sz w:val="20"/>
          <w:szCs w:val="20"/>
        </w:rPr>
        <w:t xml:space="preserve">PJ may show the work in his portfolio, on his website, on social media and in award entries — from the date of the Company's public launch, or 12 months after delivery if the Company has not launched by then.</w:t>
      </w:r>
    </w:p>
    <w:p>
      <w:pPr>
        <w:pStyle w:val="Heading1"/>
        <w:spacing w:after="140" w:before="320"/>
      </w:pPr>
      <w:r>
        <w:rPr>
          <w:rFonts w:ascii="Calibri" w:cs="Calibri" w:eastAsia="Calibri" w:hAnsi="Calibri"/>
          <w:b/>
          <w:bCs/>
          <w:color w:val="0B3D2E"/>
          <w:sz w:val="26"/>
          <w:szCs w:val="26"/>
        </w:rPr>
        <w:t xml:space="preserve">7.  Dilution — stated plainly so nobody is surprised later</w:t>
      </w:r>
    </w:p>
    <w:p>
      <w:pPr>
        <w:spacing w:after="120" w:before="0" w:line="276"/>
      </w:pPr>
      <w:r>
        <w:rPr>
          <w:rFonts w:ascii="Calibri" w:cs="Calibri" w:eastAsia="Calibri" w:hAnsi="Calibri"/>
          <w:color w:val="1A1A1A"/>
          <w:sz w:val="20"/>
          <w:szCs w:val="20"/>
        </w:rPr>
        <w:t xml:space="preserve">PJ's 10% is </w:t>
      </w:r>
      <w:r>
        <w:rPr>
          <w:rFonts w:ascii="Calibri" w:cs="Calibri" w:eastAsia="Calibri" w:hAnsi="Calibri"/>
          <w:b/>
          <w:bCs/>
          <w:color w:val="1A1A1A"/>
          <w:sz w:val="20"/>
          <w:szCs w:val="20"/>
        </w:rPr>
        <w:t xml:space="preserve">10% of the Company as it stands on the day of issue.</w:t>
      </w:r>
      <w:r>
        <w:rPr>
          <w:rFonts w:ascii="Calibri" w:cs="Calibri" w:eastAsia="Calibri" w:hAnsi="Calibri"/>
          <w:color w:val="1A1A1A"/>
          <w:sz w:val="20"/>
          <w:szCs w:val="20"/>
        </w:rPr>
        <w:t xml:space="preserve"> It is not protected against future dilution. When the Company issues new shares — to investors, to an employee option pool, to anyone — PJ is diluted in the same proportion as the Founder.</w:t>
      </w:r>
    </w:p>
    <w:p>
      <w:pPr>
        <w:spacing w:after="120" w:before="0" w:line="276"/>
      </w:pPr>
      <w:r>
        <w:rPr>
          <w:rFonts w:ascii="Calibri" w:cs="Calibri" w:eastAsia="Calibri" w:hAnsi="Calibri"/>
          <w:color w:val="1A1A1A"/>
          <w:sz w:val="20"/>
          <w:szCs w:val="20"/>
        </w:rPr>
        <w:t xml:space="preserve">Illustratively, on the Company's current funding plan:</w:t>
      </w:r>
    </w:p>
    <w:tbl>
      <w:tblPr>
        <w:tblW w:type="dxa" w:w="9360"/>
        <w:tblBorders>
          <w:top w:val="single" w:color="C9C9C9" w:sz="4"/>
          <w:left w:val="single" w:color="C9C9C9" w:sz="4"/>
          <w:bottom w:val="single" w:color="C9C9C9" w:sz="4"/>
          <w:right w:val="single" w:color="C9C9C9" w:sz="4"/>
          <w:insideH w:val="single" w:color="C9C9C9" w:sz="2"/>
          <w:insideV w:val="single" w:color="C9C9C9" w:sz="2"/>
        </w:tblBorders>
      </w:tblPr>
      <w:tblGrid>
        <w:gridCol w:w="3160"/>
        <w:gridCol w:w="1550"/>
        <w:gridCol w:w="1550"/>
        <w:gridCol w:w="1550"/>
        <w:gridCol w:w="1550"/>
      </w:tblGrid>
      <w:tr>
        <w:trPr>
          <w:tblHeader/>
        </w:trPr>
        <w:tc>
          <w:tcPr>
            <w:tcW w:type="dxa" w:w="3160"/>
            <w:shd w:fill="EAF0EC" w:color="auto" w:val="clear"/>
            <w:tcMar>
              <w:top w:type="dxa" w:w="90"/>
              <w:left w:type="dxa" w:w="130"/>
              <w:bottom w:type="dxa" w:w="90"/>
              <w:right w:type="dxa" w:w="130"/>
            </w:tcMar>
          </w:tcPr>
          <w:p>
            <w:pPr>
              <w:spacing w:after="0" w:line="260"/>
            </w:pPr>
            <w:r>
              <w:rPr>
                <w:rFonts w:ascii="Calibri" w:cs="Calibri" w:eastAsia="Calibri" w:hAnsi="Calibri"/>
                <w:b/>
                <w:bCs/>
                <w:color w:val="0B3D2E"/>
                <w:sz w:val="19"/>
                <w:szCs w:val="19"/>
              </w:rPr>
              <w:t xml:space="preserve"/>
            </w:r>
          </w:p>
        </w:tc>
        <w:tc>
          <w:tcPr>
            <w:tcW w:type="dxa" w:w="1550"/>
            <w:shd w:fill="EAF0EC" w:color="auto" w:val="clear"/>
            <w:tcMar>
              <w:top w:type="dxa" w:w="90"/>
              <w:left w:type="dxa" w:w="130"/>
              <w:bottom w:type="dxa" w:w="90"/>
              <w:right w:type="dxa" w:w="130"/>
            </w:tcMar>
          </w:tcPr>
          <w:p>
            <w:pPr>
              <w:spacing w:after="0" w:line="260"/>
              <w:jc w:val="left"/>
            </w:pPr>
            <w:r>
              <w:rPr>
                <w:rFonts w:ascii="Calibri" w:cs="Calibri" w:eastAsia="Calibri" w:hAnsi="Calibri"/>
                <w:b/>
                <w:bCs/>
                <w:color w:val="0B3D2E"/>
                <w:sz w:val="19"/>
                <w:szCs w:val="19"/>
              </w:rPr>
              <w:t xml:space="preserve">Founder</w:t>
            </w:r>
          </w:p>
        </w:tc>
        <w:tc>
          <w:tcPr>
            <w:tcW w:type="dxa" w:w="1550"/>
            <w:shd w:fill="EAF0EC" w:color="auto" w:val="clear"/>
            <w:tcMar>
              <w:top w:type="dxa" w:w="90"/>
              <w:left w:type="dxa" w:w="130"/>
              <w:bottom w:type="dxa" w:w="90"/>
              <w:right w:type="dxa" w:w="130"/>
            </w:tcMar>
          </w:tcPr>
          <w:p>
            <w:pPr>
              <w:spacing w:after="0" w:line="260"/>
              <w:jc w:val="left"/>
            </w:pPr>
            <w:r>
              <w:rPr>
                <w:rFonts w:ascii="Calibri" w:cs="Calibri" w:eastAsia="Calibri" w:hAnsi="Calibri"/>
                <w:b/>
                <w:bCs/>
                <w:color w:val="0B3D2E"/>
                <w:sz w:val="19"/>
                <w:szCs w:val="19"/>
              </w:rPr>
              <w:t xml:space="preserve">PJ</w:t>
            </w:r>
          </w:p>
        </w:tc>
        <w:tc>
          <w:tcPr>
            <w:tcW w:type="dxa" w:w="1550"/>
            <w:shd w:fill="EAF0EC" w:color="auto" w:val="clear"/>
            <w:tcMar>
              <w:top w:type="dxa" w:w="90"/>
              <w:left w:type="dxa" w:w="130"/>
              <w:bottom w:type="dxa" w:w="90"/>
              <w:right w:type="dxa" w:w="130"/>
            </w:tcMar>
          </w:tcPr>
          <w:p>
            <w:pPr>
              <w:spacing w:after="0" w:line="260"/>
              <w:jc w:val="left"/>
            </w:pPr>
            <w:r>
              <w:rPr>
                <w:rFonts w:ascii="Calibri" w:cs="Calibri" w:eastAsia="Calibri" w:hAnsi="Calibri"/>
                <w:b/>
                <w:bCs/>
                <w:color w:val="0B3D2E"/>
                <w:sz w:val="19"/>
                <w:szCs w:val="19"/>
              </w:rPr>
              <w:t xml:space="preserve">Option pool</w:t>
            </w:r>
          </w:p>
        </w:tc>
        <w:tc>
          <w:tcPr>
            <w:tcW w:type="dxa" w:w="1550"/>
            <w:shd w:fill="EAF0EC" w:color="auto" w:val="clear"/>
            <w:tcMar>
              <w:top w:type="dxa" w:w="90"/>
              <w:left w:type="dxa" w:w="130"/>
              <w:bottom w:type="dxa" w:w="90"/>
              <w:right w:type="dxa" w:w="130"/>
            </w:tcMar>
          </w:tcPr>
          <w:p>
            <w:pPr>
              <w:spacing w:after="0" w:line="260"/>
              <w:jc w:val="left"/>
            </w:pPr>
            <w:r>
              <w:rPr>
                <w:rFonts w:ascii="Calibri" w:cs="Calibri" w:eastAsia="Calibri" w:hAnsi="Calibri"/>
                <w:b/>
                <w:bCs/>
                <w:color w:val="0B3D2E"/>
                <w:sz w:val="19"/>
                <w:szCs w:val="19"/>
              </w:rPr>
              <w:t xml:space="preserve">Investors</w:t>
            </w:r>
          </w:p>
        </w:tc>
      </w:tr>
      <w:tr>
        <w:trPr>
          <w:tblHeader w:val="false"/>
        </w:trPr>
        <w:tc>
          <w:tcPr>
            <w:tcW w:type="dxa" w:w="3160"/>
            <w:shd w:fill="F7F9F7"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On signature</w:t>
            </w:r>
          </w:p>
        </w:tc>
        <w:tc>
          <w:tcPr>
            <w:tcW w:type="dxa" w:w="1550"/>
            <w:shd w:fill="F7F9F7" w:color="auto"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19"/>
                <w:szCs w:val="19"/>
              </w:rPr>
              <w:t xml:space="preserve">90.0%</w:t>
            </w:r>
          </w:p>
        </w:tc>
        <w:tc>
          <w:tcPr>
            <w:tcW w:type="dxa" w:w="1550"/>
            <w:shd w:fill="F7F9F7" w:color="auto" w:val="clear"/>
            <w:tcMar>
              <w:top w:type="dxa" w:w="90"/>
              <w:left w:type="dxa" w:w="130"/>
              <w:bottom w:type="dxa" w:w="90"/>
              <w:right w:type="dxa" w:w="130"/>
            </w:tcMar>
          </w:tcPr>
          <w:p>
            <w:pPr>
              <w:spacing w:after="0" w:line="260"/>
              <w:jc w:val="left"/>
            </w:pPr>
            <w:r>
              <w:rPr>
                <w:rFonts w:ascii="Calibri" w:cs="Calibri" w:eastAsia="Calibri" w:hAnsi="Calibri"/>
                <w:b/>
                <w:bCs/>
                <w:color w:val="1A1A1A"/>
                <w:sz w:val="19"/>
                <w:szCs w:val="19"/>
              </w:rPr>
              <w:t xml:space="preserve">10.0%</w:t>
            </w:r>
          </w:p>
        </w:tc>
        <w:tc>
          <w:tcPr>
            <w:tcW w:type="dxa" w:w="1550"/>
            <w:shd w:fill="F7F9F7" w:color="auto"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19"/>
                <w:szCs w:val="19"/>
              </w:rPr>
              <w:t xml:space="preserve">—</w:t>
            </w:r>
          </w:p>
        </w:tc>
        <w:tc>
          <w:tcPr>
            <w:tcW w:type="dxa" w:w="1550"/>
            <w:shd w:fill="F7F9F7" w:color="auto"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19"/>
                <w:szCs w:val="19"/>
              </w:rPr>
              <w:t xml:space="preserve">—</w:t>
            </w:r>
          </w:p>
        </w:tc>
      </w:tr>
      <w:tr>
        <w:trPr>
          <w:tblHeader w:val="false"/>
        </w:trPr>
        <w:tc>
          <w:tcPr>
            <w:tcW w:type="dxa" w:w="316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After a 10% option pool</w:t>
            </w:r>
          </w:p>
        </w:tc>
        <w:tc>
          <w:tcPr>
            <w:tcW w:type="dxa" w:w="1550"/>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19"/>
                <w:szCs w:val="19"/>
              </w:rPr>
              <w:t xml:space="preserve">81.0%</w:t>
            </w:r>
          </w:p>
        </w:tc>
        <w:tc>
          <w:tcPr>
            <w:tcW w:type="dxa" w:w="1550"/>
            <w:tcMar>
              <w:top w:type="dxa" w:w="90"/>
              <w:left w:type="dxa" w:w="130"/>
              <w:bottom w:type="dxa" w:w="90"/>
              <w:right w:type="dxa" w:w="130"/>
            </w:tcMar>
          </w:tcPr>
          <w:p>
            <w:pPr>
              <w:spacing w:after="0" w:line="260"/>
              <w:jc w:val="left"/>
            </w:pPr>
            <w:r>
              <w:rPr>
                <w:rFonts w:ascii="Calibri" w:cs="Calibri" w:eastAsia="Calibri" w:hAnsi="Calibri"/>
                <w:b/>
                <w:bCs/>
                <w:color w:val="1A1A1A"/>
                <w:sz w:val="19"/>
                <w:szCs w:val="19"/>
              </w:rPr>
              <w:t xml:space="preserve">9.0%</w:t>
            </w:r>
          </w:p>
        </w:tc>
        <w:tc>
          <w:tcPr>
            <w:tcW w:type="dxa" w:w="1550"/>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19"/>
                <w:szCs w:val="19"/>
              </w:rPr>
              <w:t xml:space="preserve">10.0%</w:t>
            </w:r>
          </w:p>
        </w:tc>
        <w:tc>
          <w:tcPr>
            <w:tcW w:type="dxa" w:w="1550"/>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19"/>
                <w:szCs w:val="19"/>
              </w:rPr>
              <w:t xml:space="preserve">—</w:t>
            </w:r>
          </w:p>
        </w:tc>
      </w:tr>
      <w:tr>
        <w:trPr>
          <w:tblHeader w:val="false"/>
        </w:trPr>
        <w:tc>
          <w:tcPr>
            <w:tcW w:type="dxa" w:w="3160"/>
            <w:shd w:fill="F7F9F7"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After the pre-seed round</w:t>
            </w:r>
          </w:p>
        </w:tc>
        <w:tc>
          <w:tcPr>
            <w:tcW w:type="dxa" w:w="1550"/>
            <w:shd w:fill="F7F9F7" w:color="auto"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19"/>
                <w:szCs w:val="19"/>
              </w:rPr>
              <w:t xml:space="preserve">64.8%</w:t>
            </w:r>
          </w:p>
        </w:tc>
        <w:tc>
          <w:tcPr>
            <w:tcW w:type="dxa" w:w="1550"/>
            <w:shd w:fill="F7F9F7" w:color="auto" w:val="clear"/>
            <w:tcMar>
              <w:top w:type="dxa" w:w="90"/>
              <w:left w:type="dxa" w:w="130"/>
              <w:bottom w:type="dxa" w:w="90"/>
              <w:right w:type="dxa" w:w="130"/>
            </w:tcMar>
          </w:tcPr>
          <w:p>
            <w:pPr>
              <w:spacing w:after="0" w:line="260"/>
              <w:jc w:val="left"/>
            </w:pPr>
            <w:r>
              <w:rPr>
                <w:rFonts w:ascii="Calibri" w:cs="Calibri" w:eastAsia="Calibri" w:hAnsi="Calibri"/>
                <w:b/>
                <w:bCs/>
                <w:color w:val="1A1A1A"/>
                <w:sz w:val="19"/>
                <w:szCs w:val="19"/>
              </w:rPr>
              <w:t xml:space="preserve">7.2%</w:t>
            </w:r>
          </w:p>
        </w:tc>
        <w:tc>
          <w:tcPr>
            <w:tcW w:type="dxa" w:w="1550"/>
            <w:shd w:fill="F7F9F7" w:color="auto"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19"/>
                <w:szCs w:val="19"/>
              </w:rPr>
              <w:t xml:space="preserve">8.0%</w:t>
            </w:r>
          </w:p>
        </w:tc>
        <w:tc>
          <w:tcPr>
            <w:tcW w:type="dxa" w:w="1550"/>
            <w:shd w:fill="F7F9F7" w:color="auto"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19"/>
                <w:szCs w:val="19"/>
              </w:rPr>
              <w:t xml:space="preserve">20.0%</w:t>
            </w:r>
          </w:p>
        </w:tc>
      </w:tr>
      <w:tr>
        <w:trPr>
          <w:tblHeader w:val="false"/>
        </w:trPr>
        <w:tc>
          <w:tcPr>
            <w:tcW w:type="dxa" w:w="316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After the growth round</w:t>
            </w:r>
          </w:p>
        </w:tc>
        <w:tc>
          <w:tcPr>
            <w:tcW w:type="dxa" w:w="1550"/>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19"/>
                <w:szCs w:val="19"/>
              </w:rPr>
              <w:t xml:space="preserve">51.8%</w:t>
            </w:r>
          </w:p>
        </w:tc>
        <w:tc>
          <w:tcPr>
            <w:tcW w:type="dxa" w:w="1550"/>
            <w:tcMar>
              <w:top w:type="dxa" w:w="90"/>
              <w:left w:type="dxa" w:w="130"/>
              <w:bottom w:type="dxa" w:w="90"/>
              <w:right w:type="dxa" w:w="130"/>
            </w:tcMar>
          </w:tcPr>
          <w:p>
            <w:pPr>
              <w:spacing w:after="0" w:line="260"/>
              <w:jc w:val="left"/>
            </w:pPr>
            <w:r>
              <w:rPr>
                <w:rFonts w:ascii="Calibri" w:cs="Calibri" w:eastAsia="Calibri" w:hAnsi="Calibri"/>
                <w:b/>
                <w:bCs/>
                <w:color w:val="1A1A1A"/>
                <w:sz w:val="19"/>
                <w:szCs w:val="19"/>
              </w:rPr>
              <w:t xml:space="preserve">5.8%</w:t>
            </w:r>
          </w:p>
        </w:tc>
        <w:tc>
          <w:tcPr>
            <w:tcW w:type="dxa" w:w="1550"/>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19"/>
                <w:szCs w:val="19"/>
              </w:rPr>
              <w:t xml:space="preserve">6.4%</w:t>
            </w:r>
          </w:p>
        </w:tc>
        <w:tc>
          <w:tcPr>
            <w:tcW w:type="dxa" w:w="1550"/>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19"/>
                <w:szCs w:val="19"/>
              </w:rPr>
              <w:t xml:space="preserve">36.0%</w:t>
            </w:r>
          </w:p>
        </w:tc>
      </w:tr>
    </w:tbl>
    <w:p>
      <w:pPr>
        <w:spacing w:after="120"/>
      </w:pPr>
      <w:r>
        <w:rPr>
          <w:sz w:val="2"/>
          <w:szCs w:val="2"/>
        </w:rPr>
        <w:t xml:space="preserve"/>
      </w:r>
    </w:p>
    <w:p>
      <w:pPr>
        <w:spacing w:after="120" w:before="0" w:line="276"/>
      </w:pPr>
      <w:r>
        <w:rPr>
          <w:rFonts w:ascii="Calibri" w:cs="Calibri" w:eastAsia="Calibri" w:hAnsi="Calibri"/>
          <w:i/>
          <w:iCs/>
          <w:color w:val="5A5A5A"/>
          <w:sz w:val="20"/>
          <w:szCs w:val="20"/>
        </w:rPr>
        <w:t xml:space="preserve">This table is illustrative only. It assumes each round takes 20%, which is a plausible assumption and not a commitment. Actual round sizes, valuations and pool sizes will differ.</w:t>
      </w:r>
    </w:p>
    <w:p>
      <w:pPr>
        <w:spacing w:after="120" w:before="0" w:line="276"/>
      </w:pPr>
      <w:r>
        <w:rPr>
          <w:rFonts w:ascii="Calibri" w:cs="Calibri" w:eastAsia="Calibri" w:hAnsi="Calibri"/>
          <w:b/>
          <w:bCs/>
          <w:color w:val="1A1A1A"/>
          <w:sz w:val="20"/>
          <w:szCs w:val="20"/>
        </w:rPr>
        <w:t xml:space="preserve">PJ has pre-emptive rights</w:t>
      </w:r>
      <w:r>
        <w:rPr>
          <w:rFonts w:ascii="Calibri" w:cs="Calibri" w:eastAsia="Calibri" w:hAnsi="Calibri"/>
          <w:color w:val="1A1A1A"/>
          <w:sz w:val="20"/>
          <w:szCs w:val="20"/>
        </w:rPr>
        <w:t xml:space="preserve">: if the Company issues new shares, PJ may subscribe for enough of them to maintain his percentage, on the same terms as everyone else. He is under no obligation to.</w:t>
      </w:r>
    </w:p>
    <w:p>
      <w:pPr>
        <w:pStyle w:val="Heading1"/>
        <w:spacing w:after="140" w:before="320"/>
      </w:pPr>
      <w:r>
        <w:rPr>
          <w:rFonts w:ascii="Calibri" w:cs="Calibri" w:eastAsia="Calibri" w:hAnsi="Calibri"/>
          <w:b/>
          <w:bCs/>
          <w:color w:val="0B3D2E"/>
          <w:sz w:val="26"/>
          <w:szCs w:val="26"/>
        </w:rPr>
        <w:t xml:space="preserve">8.  Shareholder rights and restrictions</w:t>
      </w:r>
    </w:p>
    <w:tbl>
      <w:tblPr>
        <w:tblW w:type="dxa" w:w="9360"/>
        <w:tblBorders>
          <w:top w:val="single" w:color="C9C9C9" w:sz="4"/>
          <w:left w:val="single" w:color="C9C9C9" w:sz="4"/>
          <w:bottom w:val="single" w:color="C9C9C9" w:sz="4"/>
          <w:right w:val="single" w:color="C9C9C9" w:sz="4"/>
          <w:insideH w:val="single" w:color="C9C9C9" w:sz="2"/>
          <w:insideV w:val="single" w:color="C9C9C9" w:sz="2"/>
        </w:tblBorders>
      </w:tblPr>
      <w:tblGrid>
        <w:gridCol w:w="2200"/>
        <w:gridCol w:w="7160"/>
      </w:tblGrid>
      <w:tr>
        <w:tc>
          <w:tcPr>
            <w:tcW w:type="dxa" w:w="2200"/>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Voting</w:t>
            </w:r>
          </w:p>
        </w:tc>
        <w:tc>
          <w:tcPr>
            <w:tcW w:type="dxa" w:w="7160"/>
            <w:tcMar>
              <w:top w:type="dxa" w:w="90"/>
              <w:left w:type="dxa" w:w="130"/>
              <w:bottom w:type="dxa" w:w="90"/>
              <w:right w:type="dxa" w:w="130"/>
            </w:tcMar>
          </w:tcPr>
          <w:p>
            <w:pPr>
              <w:spacing w:after="0" w:line="260"/>
            </w:pPr>
            <w:r>
              <w:rPr>
                <w:rFonts w:ascii="Calibri" w:cs="Calibri" w:eastAsia="Calibri" w:hAnsi="Calibri"/>
                <w:color w:val="1A1A1A"/>
                <w:sz w:val="19"/>
                <w:szCs w:val="19"/>
              </w:rPr>
              <w:t xml:space="preserve">Ordinary shares, one vote each, ranking equally with the Founder's</w:t>
            </w:r>
          </w:p>
        </w:tc>
      </w:tr>
      <w:tr>
        <w:tc>
          <w:tcPr>
            <w:tcW w:type="dxa" w:w="2200"/>
            <w:shd w:fill="F7F9F7"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Board</w:t>
            </w:r>
          </w:p>
        </w:tc>
        <w:tc>
          <w:tcPr>
            <w:tcW w:type="dxa" w:w="7160"/>
            <w:shd w:fill="F7F9F7" w:color="auto" w:val="clear"/>
            <w:tcMar>
              <w:top w:type="dxa" w:w="90"/>
              <w:left w:type="dxa" w:w="130"/>
              <w:bottom w:type="dxa" w:w="90"/>
              <w:right w:type="dxa" w:w="130"/>
            </w:tcMar>
          </w:tcPr>
          <w:p>
            <w:pPr>
              <w:spacing w:after="0" w:line="260"/>
            </w:pPr>
            <w:r>
              <w:rPr>
                <w:rFonts w:ascii="Calibri" w:cs="Calibri" w:eastAsia="Calibri" w:hAnsi="Calibri"/>
                <w:color w:val="1A1A1A"/>
                <w:sz w:val="19"/>
                <w:szCs w:val="19"/>
              </w:rPr>
              <w:t xml:space="preserve">No board seat at this shareholding. The Company will invite PJ to a shareholder update at least annually.</w:t>
            </w:r>
          </w:p>
        </w:tc>
      </w:tr>
      <w:tr>
        <w:tc>
          <w:tcPr>
            <w:tcW w:type="dxa" w:w="2200"/>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Information</w:t>
            </w:r>
          </w:p>
        </w:tc>
        <w:tc>
          <w:tcPr>
            <w:tcW w:type="dxa" w:w="7160"/>
            <w:tcMar>
              <w:top w:type="dxa" w:w="90"/>
              <w:left w:type="dxa" w:w="130"/>
              <w:bottom w:type="dxa" w:w="90"/>
              <w:right w:type="dxa" w:w="130"/>
            </w:tcMar>
          </w:tcPr>
          <w:p>
            <w:pPr>
              <w:spacing w:after="0" w:line="260"/>
            </w:pPr>
            <w:r>
              <w:rPr>
                <w:rFonts w:ascii="Calibri" w:cs="Calibri" w:eastAsia="Calibri" w:hAnsi="Calibri"/>
                <w:color w:val="1A1A1A"/>
                <w:sz w:val="19"/>
                <w:szCs w:val="19"/>
              </w:rPr>
              <w:t xml:space="preserve">Annual financial statements, and the capitalisation table on written request</w:t>
            </w:r>
          </w:p>
        </w:tc>
      </w:tr>
      <w:tr>
        <w:tc>
          <w:tcPr>
            <w:tcW w:type="dxa" w:w="2200"/>
            <w:shd w:fill="F7F9F7"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Dividends</w:t>
            </w:r>
          </w:p>
        </w:tc>
        <w:tc>
          <w:tcPr>
            <w:tcW w:type="dxa" w:w="7160"/>
            <w:shd w:fill="F7F9F7" w:color="auto" w:val="clear"/>
            <w:tcMar>
              <w:top w:type="dxa" w:w="90"/>
              <w:left w:type="dxa" w:w="130"/>
              <w:bottom w:type="dxa" w:w="90"/>
              <w:right w:type="dxa" w:w="130"/>
            </w:tcMar>
          </w:tcPr>
          <w:p>
            <w:pPr>
              <w:spacing w:after="0" w:line="260"/>
            </w:pPr>
            <w:r>
              <w:rPr>
                <w:rFonts w:ascii="Calibri" w:cs="Calibri" w:eastAsia="Calibri" w:hAnsi="Calibri"/>
                <w:color w:val="1A1A1A"/>
                <w:sz w:val="19"/>
                <w:szCs w:val="19"/>
              </w:rPr>
              <w:t xml:space="preserve">Equal rights with all other ordinary shares</w:t>
            </w:r>
          </w:p>
        </w:tc>
      </w:tr>
      <w:tr>
        <w:tc>
          <w:tcPr>
            <w:tcW w:type="dxa" w:w="2200"/>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Transfer</w:t>
            </w:r>
          </w:p>
        </w:tc>
        <w:tc>
          <w:tcPr>
            <w:tcW w:type="dxa" w:w="7160"/>
            <w:tcMar>
              <w:top w:type="dxa" w:w="90"/>
              <w:left w:type="dxa" w:w="130"/>
              <w:bottom w:type="dxa" w:w="90"/>
              <w:right w:type="dxa" w:w="130"/>
            </w:tcMar>
          </w:tcPr>
          <w:p>
            <w:pPr>
              <w:spacing w:after="0" w:line="260"/>
            </w:pPr>
            <w:r>
              <w:rPr>
                <w:rFonts w:ascii="Calibri" w:cs="Calibri" w:eastAsia="Calibri" w:hAnsi="Calibri"/>
                <w:color w:val="1A1A1A"/>
                <w:sz w:val="19"/>
                <w:szCs w:val="19"/>
              </w:rPr>
              <w:t xml:space="preserve">No transfer without board consent, subject to pre-emptive rights in favour of existing shareholders</w:t>
            </w:r>
          </w:p>
        </w:tc>
      </w:tr>
      <w:tr>
        <w:tc>
          <w:tcPr>
            <w:tcW w:type="dxa" w:w="2200"/>
            <w:shd w:fill="F7F9F7"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Tag-along</w:t>
            </w:r>
          </w:p>
        </w:tc>
        <w:tc>
          <w:tcPr>
            <w:tcW w:type="dxa" w:w="7160"/>
            <w:shd w:fill="F7F9F7" w:color="auto" w:val="clear"/>
            <w:tcMar>
              <w:top w:type="dxa" w:w="90"/>
              <w:left w:type="dxa" w:w="130"/>
              <w:bottom w:type="dxa" w:w="90"/>
              <w:right w:type="dxa" w:w="130"/>
            </w:tcMar>
          </w:tcPr>
          <w:p>
            <w:pPr>
              <w:spacing w:after="0" w:line="260"/>
            </w:pPr>
            <w:r>
              <w:rPr>
                <w:rFonts w:ascii="Calibri" w:cs="Calibri" w:eastAsia="Calibri" w:hAnsi="Calibri"/>
                <w:color w:val="1A1A1A"/>
                <w:sz w:val="19"/>
                <w:szCs w:val="19"/>
              </w:rPr>
              <w:t xml:space="preserve">If the Founder sells a controlling interest, PJ may sell the same proportion of his shares on the same terms</w:t>
            </w:r>
          </w:p>
        </w:tc>
      </w:tr>
      <w:tr>
        <w:tc>
          <w:tcPr>
            <w:tcW w:type="dxa" w:w="2200"/>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Drag-along</w:t>
            </w:r>
          </w:p>
        </w:tc>
        <w:tc>
          <w:tcPr>
            <w:tcW w:type="dxa" w:w="7160"/>
            <w:tcMar>
              <w:top w:type="dxa" w:w="90"/>
              <w:left w:type="dxa" w:w="130"/>
              <w:bottom w:type="dxa" w:w="90"/>
              <w:right w:type="dxa" w:w="130"/>
            </w:tcMar>
          </w:tcPr>
          <w:p>
            <w:pPr>
              <w:spacing w:after="0" w:line="260"/>
            </w:pPr>
            <w:r>
              <w:rPr>
                <w:rFonts w:ascii="Calibri" w:cs="Calibri" w:eastAsia="Calibri" w:hAnsi="Calibri"/>
                <w:color w:val="1A1A1A"/>
                <w:sz w:val="19"/>
                <w:szCs w:val="19"/>
              </w:rPr>
              <w:t xml:space="preserve">If holders of 75% or more accept a bona fide offer for the whole Company, PJ sells on the same terms</w:t>
            </w:r>
          </w:p>
        </w:tc>
      </w:tr>
      <w:tr>
        <w:tc>
          <w:tcPr>
            <w:tcW w:type="dxa" w:w="2200"/>
            <w:shd w:fill="F7F9F7" w:color="auto" w:val="clear"/>
            <w:tcMar>
              <w:top w:type="dxa" w:w="90"/>
              <w:left w:type="dxa" w:w="130"/>
              <w:bottom w:type="dxa" w:w="90"/>
              <w:right w:type="dxa" w:w="130"/>
            </w:tcMar>
          </w:tcPr>
          <w:p>
            <w:pPr>
              <w:spacing w:after="0" w:line="260"/>
            </w:pPr>
            <w:r>
              <w:rPr>
                <w:rFonts w:ascii="Calibri" w:cs="Calibri" w:eastAsia="Calibri" w:hAnsi="Calibri"/>
                <w:b/>
                <w:bCs/>
                <w:color w:val="1A1A1A"/>
                <w:sz w:val="19"/>
                <w:szCs w:val="19"/>
              </w:rPr>
              <w:t xml:space="preserve">Lock-up</w:t>
            </w:r>
          </w:p>
        </w:tc>
        <w:tc>
          <w:tcPr>
            <w:tcW w:type="dxa" w:w="7160"/>
            <w:shd w:fill="F7F9F7" w:color="auto" w:val="clear"/>
            <w:tcMar>
              <w:top w:type="dxa" w:w="90"/>
              <w:left w:type="dxa" w:w="130"/>
              <w:bottom w:type="dxa" w:w="90"/>
              <w:right w:type="dxa" w:w="130"/>
            </w:tcMar>
          </w:tcPr>
          <w:p>
            <w:pPr>
              <w:spacing w:after="0" w:line="260"/>
            </w:pPr>
            <w:r>
              <w:rPr>
                <w:rFonts w:ascii="Calibri" w:cs="Calibri" w:eastAsia="Calibri" w:hAnsi="Calibri"/>
                <w:color w:val="1A1A1A"/>
                <w:sz w:val="19"/>
                <w:szCs w:val="19"/>
              </w:rPr>
              <w:t xml:space="preserve">PJ will not transfer any shares for 24 months from signature, other than under a tag-along or drag-along</w:t>
            </w:r>
          </w:p>
        </w:tc>
      </w:tr>
    </w:tbl>
    <w:p>
      <w:pPr>
        <w:pStyle w:val="Heading1"/>
        <w:spacing w:after="140" w:before="320"/>
      </w:pPr>
      <w:r>
        <w:rPr>
          <w:rFonts w:ascii="Calibri" w:cs="Calibri" w:eastAsia="Calibri" w:hAnsi="Calibri"/>
          <w:b/>
          <w:bCs/>
          <w:color w:val="0B3D2E"/>
          <w:sz w:val="26"/>
          <w:szCs w:val="26"/>
        </w:rPr>
        <w:t xml:space="preserve">9.  Future work</w:t>
      </w:r>
    </w:p>
    <w:p>
      <w:pPr>
        <w:spacing w:after="120" w:before="0" w:line="276"/>
      </w:pPr>
      <w:r>
        <w:rPr>
          <w:rFonts w:ascii="Calibri" w:cs="Calibri" w:eastAsia="Calibri" w:hAnsi="Calibri"/>
          <w:color w:val="1A1A1A"/>
          <w:sz w:val="20"/>
          <w:szCs w:val="20"/>
        </w:rPr>
        <w:t xml:space="preserve">This term sheet covers the Deliverables in clause 3. </w:t>
      </w:r>
      <w:r>
        <w:rPr>
          <w:rFonts w:ascii="Calibri" w:cs="Calibri" w:eastAsia="Calibri" w:hAnsi="Calibri"/>
          <w:b/>
          <w:bCs/>
          <w:color w:val="1A1A1A"/>
          <w:sz w:val="20"/>
          <w:szCs w:val="20"/>
        </w:rPr>
        <w:t xml:space="preserve">It does not cover everything the Company ever needs designed.</w:t>
      </w:r>
    </w:p>
    <w:p>
      <w:pPr>
        <w:spacing w:after="120" w:before="0" w:line="276"/>
      </w:pPr>
      <w:r>
        <w:rPr>
          <w:rFonts w:ascii="Calibri" w:cs="Calibri" w:eastAsia="Calibri" w:hAnsi="Calibri"/>
          <w:color w:val="1A1A1A"/>
          <w:sz w:val="20"/>
          <w:szCs w:val="20"/>
        </w:rPr>
        <w:t xml:space="preserve">Further work — artwork for new flavours or formats, campaign design, a packaging refresh, retail or trade collateral, work for a licensee — is a </w:t>
      </w:r>
      <w:r>
        <w:rPr>
          <w:rFonts w:ascii="Calibri" w:cs="Calibri" w:eastAsia="Calibri" w:hAnsi="Calibri"/>
          <w:b/>
          <w:bCs/>
          <w:color w:val="1A1A1A"/>
          <w:sz w:val="20"/>
          <w:szCs w:val="20"/>
        </w:rPr>
        <w:t xml:space="preserve">separate, paid engagement</w:t>
      </w:r>
      <w:r>
        <w:rPr>
          <w:rFonts w:ascii="Calibri" w:cs="Calibri" w:eastAsia="Calibri" w:hAnsi="Calibri"/>
          <w:color w:val="1A1A1A"/>
          <w:sz w:val="20"/>
          <w:szCs w:val="20"/>
        </w:rPr>
        <w:t xml:space="preserve">, on terms agreed at the time.</w:t>
      </w:r>
    </w:p>
    <w:p>
      <w:pPr>
        <w:spacing w:after="120" w:before="0" w:line="276"/>
      </w:pPr>
      <w:r>
        <w:rPr>
          <w:rFonts w:ascii="Calibri" w:cs="Calibri" w:eastAsia="Calibri" w:hAnsi="Calibri"/>
          <w:b/>
          <w:bCs/>
          <w:color w:val="1A1A1A"/>
          <w:sz w:val="20"/>
          <w:szCs w:val="20"/>
        </w:rPr>
        <w:t xml:space="preserve">Right of first refusal. </w:t>
      </w:r>
      <w:r>
        <w:rPr>
          <w:rFonts w:ascii="Calibri" w:cs="Calibri" w:eastAsia="Calibri" w:hAnsi="Calibri"/>
          <w:color w:val="1A1A1A"/>
          <w:sz w:val="20"/>
          <w:szCs w:val="20"/>
        </w:rPr>
        <w:t xml:space="preserve">For </w:t>
      </w:r>
      <w:r>
        <w:rPr>
          <w:rFonts w:ascii="Calibri" w:cs="Calibri" w:eastAsia="Calibri" w:hAnsi="Calibri"/>
          <w:b/>
          <w:bCs/>
          <w:color w:val="1A1A1A"/>
          <w:sz w:val="20"/>
          <w:szCs w:val="20"/>
        </w:rPr>
        <w:t xml:space="preserve">three years</w:t>
      </w:r>
      <w:r>
        <w:rPr>
          <w:rFonts w:ascii="Calibri" w:cs="Calibri" w:eastAsia="Calibri" w:hAnsi="Calibri"/>
          <w:color w:val="1A1A1A"/>
          <w:sz w:val="20"/>
          <w:szCs w:val="20"/>
        </w:rPr>
        <w:t xml:space="preserve"> from completion, the Company will offer PJ first refusal on brand design work for Mulligan Mints, on commercial terms and a timeline reasonably comparable to what it could obtain elsewhere. If PJ declines or cannot meet the timeline, the Company is free to go elsewhere.</w:t>
      </w:r>
    </w:p>
    <w:p>
      <w:pPr>
        <w:pStyle w:val="Heading1"/>
        <w:spacing w:after="140" w:before="320"/>
      </w:pPr>
      <w:r>
        <w:rPr>
          <w:rFonts w:ascii="Calibri" w:cs="Calibri" w:eastAsia="Calibri" w:hAnsi="Calibri"/>
          <w:b/>
          <w:bCs/>
          <w:color w:val="0B3D2E"/>
          <w:sz w:val="26"/>
          <w:szCs w:val="26"/>
        </w:rPr>
        <w:t xml:space="preserve">10.  Restraint</w:t>
      </w:r>
    </w:p>
    <w:p>
      <w:pPr>
        <w:spacing w:after="120" w:before="0" w:line="276"/>
      </w:pPr>
      <w:r>
        <w:rPr>
          <w:rFonts w:ascii="Calibri" w:cs="Calibri" w:eastAsia="Calibri" w:hAnsi="Calibri"/>
          <w:color w:val="1A1A1A"/>
          <w:sz w:val="20"/>
          <w:szCs w:val="20"/>
        </w:rPr>
        <w:t xml:space="preserve">For as long as PJ holds shares, and for </w:t>
      </w:r>
      <w:r>
        <w:rPr>
          <w:rFonts w:ascii="Calibri" w:cs="Calibri" w:eastAsia="Calibri" w:hAnsi="Calibri"/>
          <w:b/>
          <w:bCs/>
          <w:color w:val="1A1A1A"/>
          <w:sz w:val="20"/>
          <w:szCs w:val="20"/>
        </w:rPr>
        <w:t xml:space="preserve">24 months</w:t>
      </w:r>
      <w:r>
        <w:rPr>
          <w:rFonts w:ascii="Calibri" w:cs="Calibri" w:eastAsia="Calibri" w:hAnsi="Calibri"/>
          <w:color w:val="1A1A1A"/>
          <w:sz w:val="20"/>
          <w:szCs w:val="20"/>
        </w:rPr>
        <w:t xml:space="preserve"> afterwards, PJ will not create brand identity or packaging design for a </w:t>
      </w:r>
      <w:r>
        <w:rPr>
          <w:rFonts w:ascii="Calibri" w:cs="Calibri" w:eastAsia="Calibri" w:hAnsi="Calibri"/>
          <w:b/>
          <w:bCs/>
          <w:color w:val="1A1A1A"/>
          <w:sz w:val="20"/>
          <w:szCs w:val="20"/>
        </w:rPr>
        <w:t xml:space="preserve">pressed mint, breath mint or mint confectionery brand</w:t>
      </w:r>
      <w:r>
        <w:rPr>
          <w:rFonts w:ascii="Calibri" w:cs="Calibri" w:eastAsia="Calibri" w:hAnsi="Calibri"/>
          <w:color w:val="1A1A1A"/>
          <w:sz w:val="20"/>
          <w:szCs w:val="20"/>
        </w:rPr>
        <w:t xml:space="preserve"> that competes with the Company in a market where the Company trades or has a licensee.</w:t>
      </w:r>
    </w:p>
    <w:p>
      <w:pPr>
        <w:spacing w:after="120" w:before="0" w:line="276"/>
      </w:pPr>
      <w:r>
        <w:rPr>
          <w:rFonts w:ascii="Calibri" w:cs="Calibri" w:eastAsia="Calibri" w:hAnsi="Calibri"/>
          <w:color w:val="1A1A1A"/>
          <w:sz w:val="20"/>
          <w:szCs w:val="20"/>
        </w:rPr>
        <w:t xml:space="preserve">This is deliberately narrow. It does not restrict PJ's work in confectionery generally, in food and beverage, in golf, or anywhere else.</w:t>
      </w:r>
    </w:p>
    <w:p>
      <w:pPr>
        <w:pStyle w:val="Heading1"/>
        <w:spacing w:after="140" w:before="320"/>
      </w:pPr>
      <w:r>
        <w:rPr>
          <w:rFonts w:ascii="Calibri" w:cs="Calibri" w:eastAsia="Calibri" w:hAnsi="Calibri"/>
          <w:b/>
          <w:bCs/>
          <w:color w:val="0B3D2E"/>
          <w:sz w:val="26"/>
          <w:szCs w:val="26"/>
        </w:rPr>
        <w:t xml:space="preserve">11.  Confidentiality</w:t>
      </w:r>
    </w:p>
    <w:p>
      <w:pPr>
        <w:spacing w:after="120" w:before="0" w:line="276"/>
      </w:pPr>
      <w:r>
        <w:rPr>
          <w:rFonts w:ascii="Calibri" w:cs="Calibri" w:eastAsia="Calibri" w:hAnsi="Calibri"/>
          <w:color w:val="1A1A1A"/>
          <w:sz w:val="20"/>
          <w:szCs w:val="20"/>
        </w:rPr>
        <w:t xml:space="preserve">Each party keeps the other's confidential information confidential, during the engagement and for three years afterwards. That includes the Company's financial model, supplier terms, pricing and commercial plans, and PJ's unpublished work and process.</w:t>
      </w:r>
    </w:p>
    <w:p>
      <w:pPr>
        <w:spacing w:after="120" w:before="0" w:line="276"/>
      </w:pPr>
      <w:r>
        <w:rPr>
          <w:rFonts w:ascii="Calibri" w:cs="Calibri" w:eastAsia="Calibri" w:hAnsi="Calibri"/>
          <w:color w:val="1A1A1A"/>
          <w:sz w:val="20"/>
          <w:szCs w:val="20"/>
        </w:rPr>
        <w:t xml:space="preserve">Clause 6's portfolio rights are a carve-out from this — once launch has happened, PJ may show the work.</w:t>
      </w:r>
    </w:p>
    <w:p>
      <w:pPr>
        <w:pStyle w:val="Heading1"/>
        <w:spacing w:after="140" w:before="320"/>
      </w:pPr>
      <w:r>
        <w:rPr>
          <w:rFonts w:ascii="Calibri" w:cs="Calibri" w:eastAsia="Calibri" w:hAnsi="Calibri"/>
          <w:b/>
          <w:bCs/>
          <w:color w:val="0B3D2E"/>
          <w:sz w:val="26"/>
          <w:szCs w:val="26"/>
        </w:rPr>
        <w:t xml:space="preserve">12.  Tax</w:t>
      </w:r>
    </w:p>
    <w:p>
      <w:pPr>
        <w:spacing w:after="120" w:before="0" w:line="276"/>
      </w:pPr>
      <w:r>
        <w:rPr>
          <w:rFonts w:ascii="Calibri" w:cs="Calibri" w:eastAsia="Calibri" w:hAnsi="Calibri"/>
          <w:color w:val="1A1A1A"/>
          <w:sz w:val="20"/>
          <w:szCs w:val="20"/>
        </w:rPr>
        <w:t xml:space="preserve">Shares issued in return for services are a taxable event. Under </w:t>
      </w:r>
      <w:r>
        <w:rPr>
          <w:rFonts w:ascii="Calibri" w:cs="Calibri" w:eastAsia="Calibri" w:hAnsi="Calibri"/>
          <w:b/>
          <w:bCs/>
          <w:color w:val="1A1A1A"/>
          <w:sz w:val="20"/>
          <w:szCs w:val="20"/>
        </w:rPr>
        <w:t xml:space="preserve">section 8C of the Income Tax Act</w:t>
      </w:r>
      <w:r>
        <w:rPr>
          <w:rFonts w:ascii="Calibri" w:cs="Calibri" w:eastAsia="Calibri" w:hAnsi="Calibri"/>
          <w:color w:val="1A1A1A"/>
          <w:sz w:val="20"/>
          <w:szCs w:val="20"/>
        </w:rPr>
        <w:t xml:space="preserve">, shares acquired by virtue of services and subject to restrictions are generally taxed as ordinary income when the restrictions lift — not as a capital gain, and not necessarily when there is any cash to pay the tax with.</w:t>
      </w:r>
    </w:p>
    <w:p>
      <w:pPr>
        <w:spacing w:after="120" w:before="0" w:line="276"/>
      </w:pPr>
      <w:r>
        <w:rPr>
          <w:rFonts w:ascii="Calibri" w:cs="Calibri" w:eastAsia="Calibri" w:hAnsi="Calibri"/>
          <w:b/>
          <w:bCs/>
          <w:color w:val="1A1A1A"/>
          <w:sz w:val="20"/>
          <w:szCs w:val="20"/>
        </w:rPr>
        <w:t xml:space="preserve">Each party takes its own tax advice before signing.</w:t>
      </w:r>
      <w:r>
        <w:rPr>
          <w:rFonts w:ascii="Calibri" w:cs="Calibri" w:eastAsia="Calibri" w:hAnsi="Calibri"/>
          <w:color w:val="1A1A1A"/>
          <w:sz w:val="20"/>
          <w:szCs w:val="20"/>
        </w:rPr>
        <w:t xml:space="preserve"> Neither party is advising the other on tax, and neither is responsible for the other's tax. This is flagged here because it is a real and commonly missed consequence, not because either side has taken a view on it.</w:t>
      </w:r>
    </w:p>
    <w:p>
      <w:pPr>
        <w:pStyle w:val="Heading1"/>
        <w:spacing w:after="140" w:before="320"/>
      </w:pPr>
      <w:r>
        <w:rPr>
          <w:rFonts w:ascii="Calibri" w:cs="Calibri" w:eastAsia="Calibri" w:hAnsi="Calibri"/>
          <w:b/>
          <w:bCs/>
          <w:color w:val="0B3D2E"/>
          <w:sz w:val="26"/>
          <w:szCs w:val="26"/>
        </w:rPr>
        <w:t xml:space="preserve">13.  Conditions and next steps</w:t>
      </w:r>
    </w:p>
    <w:p>
      <w:pPr>
        <w:spacing w:after="120" w:before="0" w:line="276"/>
      </w:pPr>
      <w:r>
        <w:rPr>
          <w:rFonts w:ascii="Calibri" w:cs="Calibri" w:eastAsia="Calibri" w:hAnsi="Calibri"/>
          <w:color w:val="1A1A1A"/>
          <w:sz w:val="20"/>
          <w:szCs w:val="20"/>
        </w:rPr>
        <w:t xml:space="preserve">This term sheet records what the parties have agreed </w:t>
      </w:r>
      <w:r>
        <w:rPr>
          <w:rFonts w:ascii="Calibri" w:cs="Calibri" w:eastAsia="Calibri" w:hAnsi="Calibri"/>
          <w:b/>
          <w:bCs/>
          <w:color w:val="1A1A1A"/>
          <w:sz w:val="20"/>
          <w:szCs w:val="20"/>
        </w:rPr>
        <w:t xml:space="preserve">in principle</w:t>
      </w:r>
      <w:r>
        <w:rPr>
          <w:rFonts w:ascii="Calibri" w:cs="Calibri" w:eastAsia="Calibri" w:hAnsi="Calibri"/>
          <w:color w:val="1A1A1A"/>
          <w:sz w:val="20"/>
          <w:szCs w:val="20"/>
        </w:rPr>
        <w:t xml:space="preserve">. Clauses 6 (intellectual property), 11 (confidentiality), 12 (tax) and 14 (governing law) are </w:t>
      </w:r>
      <w:r>
        <w:rPr>
          <w:rFonts w:ascii="Calibri" w:cs="Calibri" w:eastAsia="Calibri" w:hAnsi="Calibri"/>
          <w:b/>
          <w:bCs/>
          <w:color w:val="1A1A1A"/>
          <w:sz w:val="20"/>
          <w:szCs w:val="20"/>
        </w:rPr>
        <w:t xml:space="preserve">binding from signature</w:t>
      </w:r>
      <w:r>
        <w:rPr>
          <w:rFonts w:ascii="Calibri" w:cs="Calibri" w:eastAsia="Calibri" w:hAnsi="Calibri"/>
          <w:color w:val="1A1A1A"/>
          <w:sz w:val="20"/>
          <w:szCs w:val="20"/>
        </w:rPr>
        <w:t xml:space="preserve">. The rest becomes binding when the definitive documents are signed.</w:t>
      </w:r>
    </w:p>
    <w:p>
      <w:pPr>
        <w:spacing w:after="120" w:before="0" w:line="276"/>
      </w:pPr>
      <w:r>
        <w:rPr>
          <w:rFonts w:ascii="Calibri" w:cs="Calibri" w:eastAsia="Calibri" w:hAnsi="Calibri"/>
          <w:color w:val="1A1A1A"/>
          <w:sz w:val="20"/>
          <w:szCs w:val="20"/>
        </w:rPr>
        <w:t xml:space="preserve">Within </w:t>
      </w:r>
      <w:r>
        <w:rPr>
          <w:rFonts w:ascii="Calibri" w:cs="Calibri" w:eastAsia="Calibri" w:hAnsi="Calibri"/>
          <w:b/>
          <w:bCs/>
          <w:color w:val="1A1A1A"/>
          <w:sz w:val="20"/>
          <w:szCs w:val="20"/>
        </w:rPr>
        <w:t xml:space="preserve">30 days</w:t>
      </w:r>
      <w:r>
        <w:rPr>
          <w:rFonts w:ascii="Calibri" w:cs="Calibri" w:eastAsia="Calibri" w:hAnsi="Calibri"/>
          <w:color w:val="1A1A1A"/>
          <w:sz w:val="20"/>
          <w:szCs w:val="20"/>
        </w:rPr>
        <w:t xml:space="preserve"> of signature the parties will sign:</w:t>
      </w:r>
    </w:p>
    <w:p>
      <w:pPr>
        <w:pStyle w:val="ListParagraph"/>
        <w:numPr>
          <w:ilvl w:val="0"/>
          <w:numId w:val="2"/>
        </w:numPr>
        <w:spacing w:after="90" w:line="276"/>
      </w:pPr>
      <w:r>
        <w:rPr>
          <w:rFonts w:ascii="Calibri" w:cs="Calibri" w:eastAsia="Calibri" w:hAnsi="Calibri"/>
          <w:color w:val="1A1A1A"/>
          <w:sz w:val="20"/>
          <w:szCs w:val="20"/>
        </w:rPr>
        <w:t xml:space="preserve">A Subscription and Shareholders Agreement giving effect to clauses 2, 5, 7 and 8</w:t>
      </w:r>
    </w:p>
    <w:p>
      <w:pPr>
        <w:pStyle w:val="ListParagraph"/>
        <w:numPr>
          <w:ilvl w:val="0"/>
          <w:numId w:val="2"/>
        </w:numPr>
        <w:spacing w:after="90" w:line="276"/>
      </w:pPr>
      <w:r>
        <w:rPr>
          <w:rFonts w:ascii="Calibri" w:cs="Calibri" w:eastAsia="Calibri" w:hAnsi="Calibri"/>
          <w:color w:val="1A1A1A"/>
          <w:sz w:val="20"/>
          <w:szCs w:val="20"/>
        </w:rPr>
        <w:t xml:space="preserve">A Deed of Assignment of Intellectual Property</w:t>
      </w:r>
    </w:p>
    <w:p>
      <w:pPr>
        <w:pStyle w:val="ListParagraph"/>
        <w:numPr>
          <w:ilvl w:val="0"/>
          <w:numId w:val="2"/>
        </w:numPr>
        <w:spacing w:after="90" w:line="276"/>
      </w:pPr>
      <w:r>
        <w:rPr>
          <w:rFonts w:ascii="Calibri" w:cs="Calibri" w:eastAsia="Calibri" w:hAnsi="Calibri"/>
          <w:color w:val="1A1A1A"/>
          <w:sz w:val="20"/>
          <w:szCs w:val="20"/>
        </w:rPr>
        <w:t xml:space="preserve">The Company's Memorandum of Incorporation, consistent with the above</w:t>
      </w:r>
    </w:p>
    <w:p>
      <w:pPr>
        <w:spacing w:after="120" w:before="0" w:line="276"/>
      </w:pPr>
      <w:r>
        <w:rPr>
          <w:rFonts w:ascii="Calibri" w:cs="Calibri" w:eastAsia="Calibri" w:hAnsi="Calibri"/>
          <w:color w:val="1A1A1A"/>
          <w:sz w:val="20"/>
          <w:szCs w:val="20"/>
        </w:rPr>
        <w:t xml:space="preserve">The Company pays the cost of drafting these. Each party pays its own advisers.</w:t>
      </w:r>
    </w:p>
    <w:p>
      <w:pPr>
        <w:spacing w:after="120" w:before="0" w:line="276"/>
      </w:pPr>
      <w:r>
        <w:rPr>
          <w:rFonts w:ascii="Calibri" w:cs="Calibri" w:eastAsia="Calibri" w:hAnsi="Calibri"/>
          <w:b/>
          <w:bCs/>
          <w:color w:val="1A1A1A"/>
          <w:sz w:val="20"/>
          <w:szCs w:val="20"/>
        </w:rPr>
        <w:t xml:space="preserve">Conditions precedent to the share issue:</w:t>
      </w:r>
    </w:p>
    <w:p>
      <w:pPr>
        <w:pStyle w:val="ListParagraph"/>
        <w:numPr>
          <w:ilvl w:val="0"/>
          <w:numId w:val="3"/>
        </w:numPr>
        <w:spacing w:after="90" w:line="276"/>
      </w:pPr>
      <w:r>
        <w:rPr>
          <w:rFonts w:ascii="Calibri" w:cs="Calibri" w:eastAsia="Calibri" w:hAnsi="Calibri"/>
          <w:color w:val="1A1A1A"/>
          <w:sz w:val="20"/>
          <w:szCs w:val="20"/>
        </w:rPr>
        <w:t xml:space="preserve">Mulligan Mints (Pty) Ltd incorporated with CIPC</w:t>
      </w:r>
    </w:p>
    <w:p>
      <w:pPr>
        <w:pStyle w:val="ListParagraph"/>
        <w:numPr>
          <w:ilvl w:val="0"/>
          <w:numId w:val="3"/>
        </w:numPr>
        <w:spacing w:after="90" w:line="276"/>
      </w:pPr>
      <w:r>
        <w:rPr>
          <w:rFonts w:ascii="Calibri" w:cs="Calibri" w:eastAsia="Calibri" w:hAnsi="Calibri"/>
          <w:color w:val="1A1A1A"/>
          <w:sz w:val="20"/>
          <w:szCs w:val="20"/>
        </w:rPr>
        <w:t xml:space="preserve">Definitive documents signed by both parties</w:t>
      </w:r>
    </w:p>
    <w:p>
      <w:pPr>
        <w:pStyle w:val="ListParagraph"/>
        <w:numPr>
          <w:ilvl w:val="0"/>
          <w:numId w:val="3"/>
        </w:numPr>
        <w:spacing w:after="90" w:line="276"/>
      </w:pPr>
      <w:r>
        <w:rPr>
          <w:rFonts w:ascii="Calibri" w:cs="Calibri" w:eastAsia="Calibri" w:hAnsi="Calibri"/>
          <w:color w:val="1A1A1A"/>
          <w:sz w:val="20"/>
          <w:szCs w:val="20"/>
        </w:rPr>
        <w:t xml:space="preserve">Trade mark clearance searches completed</w:t>
      </w:r>
    </w:p>
    <w:p>
      <w:pPr>
        <w:pStyle w:val="Heading1"/>
        <w:spacing w:after="140" w:before="320"/>
      </w:pPr>
      <w:r>
        <w:rPr>
          <w:rFonts w:ascii="Calibri" w:cs="Calibri" w:eastAsia="Calibri" w:hAnsi="Calibri"/>
          <w:b/>
          <w:bCs/>
          <w:color w:val="0B3D2E"/>
          <w:sz w:val="26"/>
          <w:szCs w:val="26"/>
        </w:rPr>
        <w:t xml:space="preserve">14.  Governing law</w:t>
      </w:r>
    </w:p>
    <w:p>
      <w:pPr>
        <w:spacing w:after="120" w:before="0" w:line="276"/>
      </w:pPr>
      <w:r>
        <w:rPr>
          <w:rFonts w:ascii="Calibri" w:cs="Calibri" w:eastAsia="Calibri" w:hAnsi="Calibri"/>
          <w:color w:val="1A1A1A"/>
          <w:sz w:val="20"/>
          <w:szCs w:val="20"/>
        </w:rPr>
        <w:t xml:space="preserve">South African law. The parties will try in good faith to resolve any dispute between themselves, and failing that will refer it to arbitration under the rules of the Arbitration Foundation of Southern Africa, in Cape Town.</w:t>
      </w:r>
    </w:p>
    <w:p>
      <w:pPr>
        <w:pStyle w:val="Heading1"/>
        <w:spacing w:after="140" w:before="320"/>
      </w:pPr>
      <w:r>
        <w:rPr>
          <w:rFonts w:ascii="Calibri" w:cs="Calibri" w:eastAsia="Calibri" w:hAnsi="Calibri"/>
          <w:b/>
          <w:bCs/>
          <w:color w:val="0B3D2E"/>
          <w:sz w:val="26"/>
          <w:szCs w:val="26"/>
        </w:rPr>
        <w:t xml:space="preserve">15.  No representation as to value</w:t>
      </w:r>
    </w:p>
    <w:p>
      <w:pPr>
        <w:spacing w:after="120" w:before="0" w:line="276"/>
      </w:pPr>
      <w:r>
        <w:rPr>
          <w:rFonts w:ascii="Calibri" w:cs="Calibri" w:eastAsia="Calibri" w:hAnsi="Calibri"/>
          <w:color w:val="1A1A1A"/>
          <w:sz w:val="20"/>
          <w:szCs w:val="20"/>
        </w:rPr>
        <w:t xml:space="preserve">Neither party makes any representation or warranty to the other about the present or future value of the shares, or about the Company's prospects. The Company's financial model is a forecast built on stated assumptions, several of which are explicitly unverified. </w:t>
      </w:r>
      <w:r>
        <w:rPr>
          <w:rFonts w:ascii="Calibri" w:cs="Calibri" w:eastAsia="Calibri" w:hAnsi="Calibri"/>
          <w:b/>
          <w:bCs/>
          <w:color w:val="1A1A1A"/>
          <w:sz w:val="20"/>
          <w:szCs w:val="20"/>
        </w:rPr>
        <w:t xml:space="preserve">The shares may end up worth nothing.</w:t>
      </w:r>
      <w:r>
        <w:rPr>
          <w:rFonts w:ascii="Calibri" w:cs="Calibri" w:eastAsia="Calibri" w:hAnsi="Calibri"/>
          <w:color w:val="1A1A1A"/>
          <w:sz w:val="20"/>
          <w:szCs w:val="20"/>
        </w:rPr>
        <w:t xml:space="preserve"> PJ enters this agreement on that basis, with his eyes open.</w:t>
      </w:r>
    </w:p>
    <w:p>
      <w:pPr>
        <w:pBdr>
          <w:bottom w:val="single" w:color="C9C9C9" w:sz="6" w:space="1"/>
        </w:pBdr>
        <w:spacing w:after="200" w:before="100"/>
      </w:pPr>
      <w:r>
        <w:rPr>
          <w:sz w:val="2"/>
          <w:szCs w:val="2"/>
        </w:rPr>
        <w:t xml:space="preserve"/>
      </w:r>
    </w:p>
    <w:p>
      <w:pPr>
        <w:pStyle w:val="Heading1"/>
        <w:spacing w:after="140" w:before="320"/>
      </w:pPr>
      <w:r>
        <w:rPr>
          <w:rFonts w:ascii="Calibri" w:cs="Calibri" w:eastAsia="Calibri" w:hAnsi="Calibri"/>
          <w:b/>
          <w:bCs/>
          <w:color w:val="0B3D2E"/>
          <w:sz w:val="26"/>
          <w:szCs w:val="26"/>
        </w:rPr>
        <w:t xml:space="preserve">Signed</w:t>
      </w:r>
    </w:p>
    <w:p>
      <w:pPr>
        <w:spacing w:after="200"/>
      </w:pPr>
      <w:r>
        <w:rPr>
          <w:sz w:val="2"/>
          <w:szCs w:val="2"/>
        </w:rPr>
        <w:t xml:space="preserve"/>
      </w:r>
    </w:p>
    <w:p>
      <w:pPr>
        <w:spacing w:after="320" w:before="0" w:line="276"/>
      </w:pPr>
      <w:r>
        <w:rPr>
          <w:rFonts w:ascii="Calibri" w:cs="Calibri" w:eastAsia="Calibri" w:hAnsi="Calibri"/>
          <w:b/>
          <w:bCs/>
          <w:color w:val="1A1A1A"/>
          <w:sz w:val="20"/>
          <w:szCs w:val="20"/>
        </w:rPr>
        <w:t xml:space="preserve">For Mulligan Mints (Pty) Ltd </w:t>
      </w:r>
      <w:r>
        <w:rPr>
          <w:rFonts w:ascii="Calibri" w:cs="Calibri" w:eastAsia="Calibri" w:hAnsi="Calibri"/>
          <w:i/>
          <w:iCs/>
          <w:color w:val="1A1A1A"/>
          <w:sz w:val="20"/>
          <w:szCs w:val="20"/>
        </w:rPr>
        <w:t xml:space="preserve">(in formation)</w:t>
      </w:r>
    </w:p>
    <w:p>
      <w:pPr>
        <w:spacing w:after="140" w:before="0" w:line="276"/>
      </w:pPr>
      <w:r>
        <w:rPr>
          <w:rFonts w:ascii="Calibri" w:cs="Calibri" w:eastAsia="Calibri" w:hAnsi="Calibri"/>
          <w:color w:val="1A1A1A"/>
          <w:sz w:val="20"/>
          <w:szCs w:val="20"/>
        </w:rPr>
        <w:t xml:space="preserve">Signature:  ______________________________________          Date:  ____________________</w:t>
      </w:r>
    </w:p>
    <w:p>
      <w:pPr>
        <w:spacing w:after="500" w:before="0" w:line="276"/>
      </w:pPr>
      <w:r>
        <w:rPr>
          <w:rFonts w:ascii="Calibri" w:cs="Calibri" w:eastAsia="Calibri" w:hAnsi="Calibri"/>
          <w:color w:val="1A1A1A"/>
          <w:sz w:val="20"/>
          <w:szCs w:val="20"/>
        </w:rPr>
        <w:t xml:space="preserve">Name:  </w:t>
      </w:r>
      <w:r>
        <w:rPr>
          <w:rFonts w:ascii="Calibri" w:cs="Calibri" w:eastAsia="Calibri" w:hAnsi="Calibri"/>
          <w:b/>
          <w:bCs/>
          <w:color w:val="1A1A1A"/>
          <w:sz w:val="20"/>
          <w:szCs w:val="20"/>
        </w:rPr>
        <w:t xml:space="preserve">Johannes Le Roux</w:t>
      </w:r>
    </w:p>
    <w:p>
      <w:pPr>
        <w:spacing w:after="320" w:before="0" w:line="276"/>
      </w:pPr>
      <w:r>
        <w:rPr>
          <w:rFonts w:ascii="Calibri" w:cs="Calibri" w:eastAsia="Calibri" w:hAnsi="Calibri"/>
          <w:b/>
          <w:bCs/>
          <w:color w:val="1A1A1A"/>
          <w:sz w:val="20"/>
          <w:szCs w:val="20"/>
        </w:rPr>
        <w:t xml:space="preserve">PJ Offner</w:t>
      </w:r>
    </w:p>
    <w:p>
      <w:pPr>
        <w:spacing w:after="140" w:before="0" w:line="276"/>
      </w:pPr>
      <w:r>
        <w:rPr>
          <w:rFonts w:ascii="Calibri" w:cs="Calibri" w:eastAsia="Calibri" w:hAnsi="Calibri"/>
          <w:color w:val="1A1A1A"/>
          <w:sz w:val="20"/>
          <w:szCs w:val="20"/>
        </w:rPr>
        <w:t xml:space="preserve">Signature:  ______________________________________          Date:  ____________________</w:t>
      </w:r>
    </w:p>
    <w:p>
      <w:pPr>
        <w:spacing w:after="400" w:before="0" w:line="276"/>
      </w:pPr>
      <w:r>
        <w:rPr>
          <w:rFonts w:ascii="Calibri" w:cs="Calibri" w:eastAsia="Calibri" w:hAnsi="Calibri"/>
          <w:color w:val="1A1A1A"/>
          <w:sz w:val="20"/>
          <w:szCs w:val="20"/>
        </w:rPr>
        <w:t xml:space="preserve">Name:  </w:t>
      </w:r>
      <w:r>
        <w:rPr>
          <w:rFonts w:ascii="Calibri" w:cs="Calibri" w:eastAsia="Calibri" w:hAnsi="Calibri"/>
          <w:b/>
          <w:bCs/>
          <w:color w:val="1A1A1A"/>
          <w:sz w:val="20"/>
          <w:szCs w:val="20"/>
        </w:rPr>
        <w:t xml:space="preserve">PJ Offner</w:t>
      </w:r>
    </w:p>
    <w:p>
      <w:pPr>
        <w:pBdr>
          <w:bottom w:val="single" w:color="C9C9C9" w:sz="6" w:space="1"/>
        </w:pBdr>
        <w:spacing w:after="200" w:before="100"/>
      </w:pPr>
      <w:r>
        <w:rPr>
          <w:sz w:val="2"/>
          <w:szCs w:val="2"/>
        </w:rPr>
        <w:t xml:space="preserve"/>
      </w:r>
    </w:p>
    <w:p>
      <w:pPr>
        <w:spacing w:after="120" w:before="0" w:line="276"/>
      </w:pPr>
      <w:r>
        <w:rPr>
          <w:rFonts w:ascii="Calibri" w:cs="Calibri" w:eastAsia="Calibri" w:hAnsi="Calibri"/>
          <w:b/>
          <w:bCs/>
          <w:color w:val="1A1A1A"/>
          <w:sz w:val="20"/>
          <w:szCs w:val="20"/>
        </w:rPr>
        <w:t xml:space="preserve">Attached and forming part of this term sheet: </w:t>
      </w:r>
      <w:r>
        <w:rPr>
          <w:rFonts w:ascii="Calibri" w:cs="Calibri" w:eastAsia="Calibri" w:hAnsi="Calibri"/>
          <w:i/>
          <w:iCs/>
          <w:color w:val="1A1A1A"/>
          <w:sz w:val="20"/>
          <w:szCs w:val="20"/>
        </w:rPr>
        <w:t xml:space="preserve">Creative brief — Mulligan Mints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 sheet — brand equity partnership</dc:title>
  <dc:creator>Mulligan Mints</dc:creator>
  <cp:lastModifiedBy>Un-named</cp:lastModifiedBy>
  <cp:revision>1</cp:revision>
  <dcterms:created xsi:type="dcterms:W3CDTF">2026-08-30T16:22:22.489Z</dcterms:created>
  <dcterms:modified xsi:type="dcterms:W3CDTF">2026-08-30T16:22:22.508Z</dcterms:modified>
</cp:coreProperties>
</file>

<file path=docProps/custom.xml><?xml version="1.0" encoding="utf-8"?>
<Properties xmlns="http://schemas.openxmlformats.org/officeDocument/2006/custom-properties" xmlns:vt="http://schemas.openxmlformats.org/officeDocument/2006/docPropsVTypes"/>
</file>