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color w:val="451B4F"/>
          <w:sz w:val="30"/>
        </w:rPr>
        <w:t>Magpie — why it is a custom tool, and where it can run</w:t>
      </w:r>
    </w:p>
    <w:p>
      <w:pPr>
        <w:spacing w:after="140" w:before="0"/>
      </w:pPr>
      <w:r>
        <w:rPr>
          <w:b w:val="0"/>
          <w:i w:val="0"/>
          <w:color w:val="5A5A5A"/>
          <w:sz w:val="16"/>
        </w:rPr>
        <w:t>A note for the cloud and AI teams · 5 August 2026 · flow chart overleaf</w:t>
      </w:r>
    </w:p>
    <w:p>
      <w:pPr>
        <w:spacing w:after="40" w:before="0"/>
      </w:pPr>
      <w:r>
        <w:rPr>
          <w:b/>
          <w:i w:val="0"/>
          <w:color w:val="712D85"/>
          <w:sz w:val="21"/>
        </w:rPr>
        <w:t>Magpie is a system of record, not a chatbot</w:t>
      </w:r>
    </w:p>
    <w:p>
      <w:pPr>
        <w:spacing w:after="80" w:before="0"/>
      </w:pPr>
      <w:r>
        <w:rPr>
          <w:b/>
          <w:color w:val="1A1A1A"/>
          <w:sz w:val="18"/>
        </w:rPr>
        <w:t xml:space="preserve">A chatbot answers questions. Magpie asks them — and refuses to stop until it has what it came for. </w:t>
      </w:r>
      <w:r>
        <w:rPr>
          <w:b w:val="0"/>
          <w:color w:val="1A1A1A"/>
          <w:sz w:val="18"/>
        </w:rPr>
        <w:t>That difference is the whole product. Roughly two fifths of the code is not conversation at all: it is the machinery that decides what has genuinely been captured, refuses to accept what has not, and records who said what. Four things it does cannot be done inside Copilot, Gemini, or any chat interface:</w:t>
      </w:r>
    </w:p>
    <w:p>
      <w:pPr>
        <w:pStyle w:val="ListBullet"/>
        <w:spacing w:after="40" w:line="252" w:lineRule="auto"/>
        <w:ind w:left="283"/>
      </w:pPr>
      <w:r>
        <w:rPr>
          <w:b/>
          <w:color w:val="1A1A1A"/>
          <w:sz w:val="18"/>
        </w:rPr>
        <w:t xml:space="preserve">It cannot finish early. </w:t>
      </w:r>
      <w:r>
        <w:rPr>
          <w:b w:val="0"/>
          <w:color w:val="1A1A1A"/>
          <w:sz w:val="18"/>
        </w:rPr>
        <w:t>A session cannot complete while any of the twelve facets is unresolved. A chat session ends whenever the user closes the tab, and nobody can tell what was missed.</w:t>
      </w:r>
    </w:p>
    <w:p>
      <w:pPr>
        <w:pStyle w:val="ListBullet"/>
        <w:spacing w:after="40" w:line="252" w:lineRule="auto"/>
        <w:ind w:left="283"/>
      </w:pPr>
      <w:r>
        <w:rPr>
          <w:b/>
          <w:color w:val="1A1A1A"/>
          <w:sz w:val="18"/>
        </w:rPr>
        <w:t xml:space="preserve">It cannot invent. </w:t>
      </w:r>
      <w:r>
        <w:rPr>
          <w:b w:val="0"/>
          <w:color w:val="1A1A1A"/>
          <w:sz w:val="18"/>
        </w:rPr>
        <w:t>The model has no ability to write anything. It proposes structured entries; our code validates each one and applies it. A chatbot's answer is simply whatever it generated, and process detail that sounds plausible is indistinguishable from process detail that is true.</w:t>
      </w:r>
    </w:p>
    <w:p>
      <w:pPr>
        <w:pStyle w:val="ListBullet"/>
        <w:spacing w:after="40" w:line="252" w:lineRule="auto"/>
        <w:ind w:left="283"/>
      </w:pPr>
      <w:r>
        <w:rPr>
          <w:b/>
          <w:color w:val="1A1A1A"/>
          <w:sz w:val="18"/>
        </w:rPr>
        <w:t xml:space="preserve">It attributes every statement to the person who said it. </w:t>
      </w:r>
      <w:r>
        <w:rPr>
          <w:b w:val="0"/>
          <w:color w:val="1A1A1A"/>
          <w:sz w:val="18"/>
        </w:rPr>
        <w:t>Where two colleagues describe the same process differently, both accounts survive and the disagreement is raised for a human. A chat transcript cannot do this — and averaging two accounts into one is how a wrong process reaches ARIS.</w:t>
      </w:r>
    </w:p>
    <w:p>
      <w:pPr>
        <w:pStyle w:val="ListBullet"/>
        <w:spacing w:after="100" w:line="252" w:lineRule="auto"/>
        <w:ind w:left="283"/>
      </w:pPr>
      <w:r>
        <w:rPr>
          <w:b/>
          <w:color w:val="1A1A1A"/>
          <w:sz w:val="18"/>
        </w:rPr>
        <w:t xml:space="preserve">Nothing leaves unchecked. </w:t>
      </w:r>
      <w:r>
        <w:rPr>
          <w:b w:val="0"/>
          <w:color w:val="1A1A1A"/>
          <w:sz w:val="18"/>
        </w:rPr>
        <w:t>Every claim about how work could change, or could be automated, must cite its evidence and be approved item by item before it reaches a report.</w:t>
      </w:r>
    </w:p>
    <w:p>
      <w:pPr>
        <w:spacing w:after="80" w:before="0"/>
      </w:pPr>
      <w:r>
        <w:rPr>
          <w:b/>
          <w:color w:val="1A1A1A"/>
          <w:sz w:val="18"/>
        </w:rPr>
        <w:t xml:space="preserve">Put plainly: </w:t>
      </w:r>
      <w:r>
        <w:rPr>
          <w:b w:val="0"/>
          <w:color w:val="1A1A1A"/>
          <w:sz w:val="18"/>
        </w:rPr>
        <w:t>this is the part that lets us answer, in six months, the question “where did this line in the process model come from, and who told us?” A chat transcript cannot answer it. That is why Magpie is a custom application and not a prompt.</w:t>
      </w:r>
    </w:p>
    <w:p>
      <w:pPr>
        <w:spacing w:after="40" w:before="160"/>
      </w:pPr>
      <w:r>
        <w:rPr>
          <w:b/>
          <w:i w:val="0"/>
          <w:color w:val="712D85"/>
          <w:sz w:val="21"/>
        </w:rPr>
        <w:t>It runs equally well on AWS or Google Cloud</w:t>
      </w:r>
    </w:p>
    <w:p>
      <w:pPr>
        <w:spacing w:after="60" w:before="0"/>
      </w:pPr>
      <w:r>
        <w:rPr>
          <w:b w:val="0"/>
          <w:i w:val="0"/>
          <w:color w:val="1A1A1A"/>
          <w:sz w:val="18"/>
        </w:rPr>
        <w:t>The application is cloud-neutral by construction — a container and a standard database. Both platforms offer Claude as a managed service inside our own account, so either satisfies the cloud team without compromise:</w:t>
      </w:r>
    </w:p>
    <w:tbl>
      <w:tblPr>
        <w:tblW w:type="auto" w:w="0"/>
        <w:jc w:val="left"/>
        <w:tblLayout w:type="fixed"/>
        <w:tblLook w:firstColumn="1" w:firstRow="1" w:lastColumn="0" w:lastRow="0" w:noHBand="0" w:noVBand="1" w:val="04A0"/>
      </w:tblPr>
      <w:tblGrid>
        <w:gridCol w:w="3475"/>
        <w:gridCol w:w="3475"/>
        <w:gridCol w:w="3475"/>
      </w:tblGrid>
      <w:tr>
        <w:tc>
          <w:tcPr>
            <w:tcW w:type="dxa" w:w="1757"/>
            <w:shd w:val="clear" w:fill="712D85"/>
          </w:tcPr>
          <w:p>
            <w:pPr>
              <w:spacing w:after="30" w:before="30" w:line="240" w:lineRule="auto"/>
            </w:pPr>
            <w:r>
              <w:rPr>
                <w:b/>
                <w:color w:val="FFFFFF"/>
                <w:sz w:val="16"/>
              </w:rPr>
            </w:r>
          </w:p>
        </w:tc>
        <w:tc>
          <w:tcPr>
            <w:tcW w:type="dxa" w:w="4139"/>
            <w:shd w:val="clear" w:fill="712D85"/>
          </w:tcPr>
          <w:p>
            <w:pPr>
              <w:spacing w:after="30" w:before="30" w:line="240" w:lineRule="auto"/>
            </w:pPr>
            <w:r>
              <w:rPr>
                <w:b/>
                <w:color w:val="FFFFFF"/>
                <w:sz w:val="16"/>
              </w:rPr>
              <w:t>Option A — AWS</w:t>
            </w:r>
          </w:p>
        </w:tc>
        <w:tc>
          <w:tcPr>
            <w:tcW w:type="dxa" w:w="4139"/>
            <w:shd w:val="clear" w:fill="712D85"/>
          </w:tcPr>
          <w:p>
            <w:pPr>
              <w:spacing w:after="30" w:before="30" w:line="240" w:lineRule="auto"/>
            </w:pPr>
            <w:r>
              <w:rPr>
                <w:b/>
                <w:color w:val="FFFFFF"/>
                <w:sz w:val="16"/>
              </w:rPr>
              <w:t>Option B — Google Cloud</w:t>
            </w:r>
          </w:p>
        </w:tc>
      </w:tr>
      <w:tr>
        <w:tc>
          <w:tcPr>
            <w:tcW w:type="dxa" w:w="1757"/>
            <w:shd w:val="clear" w:fill="FFFFFF"/>
          </w:tcPr>
          <w:p>
            <w:pPr>
              <w:spacing w:after="30" w:before="30" w:line="240" w:lineRule="auto"/>
            </w:pPr>
            <w:r>
              <w:rPr>
                <w:b/>
                <w:color w:val="1A1A1A"/>
                <w:sz w:val="16"/>
              </w:rPr>
              <w:t>Base model</w:t>
            </w:r>
          </w:p>
        </w:tc>
        <w:tc>
          <w:tcPr>
            <w:tcW w:type="dxa" w:w="4139"/>
            <w:shd w:val="clear" w:fill="FFFFFF"/>
          </w:tcPr>
          <w:p>
            <w:pPr>
              <w:spacing w:after="30" w:before="30" w:line="240" w:lineRule="auto"/>
            </w:pPr>
            <w:r>
              <w:rPr>
                <w:color w:val="1A1A1A"/>
                <w:sz w:val="16"/>
              </w:rPr>
              <w:t>Claude via Amazon Bedrock</w:t>
            </w:r>
          </w:p>
        </w:tc>
        <w:tc>
          <w:tcPr>
            <w:tcW w:type="dxa" w:w="4139"/>
            <w:shd w:val="clear" w:fill="FFFFFF"/>
          </w:tcPr>
          <w:p>
            <w:pPr>
              <w:spacing w:after="30" w:before="30" w:line="240" w:lineRule="auto"/>
            </w:pPr>
            <w:r>
              <w:rPr>
                <w:color w:val="1A1A1A"/>
                <w:sz w:val="16"/>
              </w:rPr>
              <w:t>Claude via Vertex AI</w:t>
            </w:r>
          </w:p>
        </w:tc>
      </w:tr>
      <w:tr>
        <w:tc>
          <w:tcPr>
            <w:tcW w:type="dxa" w:w="1757"/>
            <w:shd w:val="clear" w:fill="FFFFFF"/>
          </w:tcPr>
          <w:p>
            <w:pPr>
              <w:spacing w:after="30" w:before="30" w:line="240" w:lineRule="auto"/>
            </w:pPr>
            <w:r>
              <w:rPr>
                <w:b/>
                <w:color w:val="1A1A1A"/>
                <w:sz w:val="16"/>
              </w:rPr>
              <w:t>Hosting</w:t>
            </w:r>
          </w:p>
        </w:tc>
        <w:tc>
          <w:tcPr>
            <w:tcW w:type="dxa" w:w="4139"/>
            <w:shd w:val="clear" w:fill="FFFFFF"/>
          </w:tcPr>
          <w:p>
            <w:pPr>
              <w:spacing w:after="30" w:before="30" w:line="240" w:lineRule="auto"/>
            </w:pPr>
            <w:r>
              <w:rPr>
                <w:color w:val="1A1A1A"/>
                <w:sz w:val="16"/>
              </w:rPr>
              <w:t>App Runner or ECS Fargate</w:t>
            </w:r>
          </w:p>
        </w:tc>
        <w:tc>
          <w:tcPr>
            <w:tcW w:type="dxa" w:w="4139"/>
            <w:shd w:val="clear" w:fill="FFFFFF"/>
          </w:tcPr>
          <w:p>
            <w:pPr>
              <w:spacing w:after="30" w:before="30" w:line="240" w:lineRule="auto"/>
            </w:pPr>
            <w:r>
              <w:rPr>
                <w:color w:val="1A1A1A"/>
                <w:sz w:val="16"/>
              </w:rPr>
              <w:t>Cloud Run</w:t>
            </w:r>
          </w:p>
        </w:tc>
      </w:tr>
      <w:tr>
        <w:tc>
          <w:tcPr>
            <w:tcW w:type="dxa" w:w="1757"/>
            <w:shd w:val="clear" w:fill="FFFFFF"/>
          </w:tcPr>
          <w:p>
            <w:pPr>
              <w:spacing w:after="30" w:before="30" w:line="240" w:lineRule="auto"/>
            </w:pPr>
            <w:r>
              <w:rPr>
                <w:b/>
                <w:color w:val="1A1A1A"/>
                <w:sz w:val="16"/>
              </w:rPr>
              <w:t>Database</w:t>
            </w:r>
          </w:p>
        </w:tc>
        <w:tc>
          <w:tcPr>
            <w:tcW w:type="dxa" w:w="4139"/>
            <w:shd w:val="clear" w:fill="FFFFFF"/>
          </w:tcPr>
          <w:p>
            <w:pPr>
              <w:spacing w:after="30" w:before="30" w:line="240" w:lineRule="auto"/>
            </w:pPr>
            <w:r>
              <w:rPr>
                <w:color w:val="1A1A1A"/>
                <w:sz w:val="16"/>
              </w:rPr>
              <w:t>RDS for PostgreSQL</w:t>
            </w:r>
          </w:p>
        </w:tc>
        <w:tc>
          <w:tcPr>
            <w:tcW w:type="dxa" w:w="4139"/>
            <w:shd w:val="clear" w:fill="FFFFFF"/>
          </w:tcPr>
          <w:p>
            <w:pPr>
              <w:spacing w:after="30" w:before="30" w:line="240" w:lineRule="auto"/>
            </w:pPr>
            <w:r>
              <w:rPr>
                <w:color w:val="1A1A1A"/>
                <w:sz w:val="16"/>
              </w:rPr>
              <w:t>Cloud SQL for PostgreSQL</w:t>
            </w:r>
          </w:p>
        </w:tc>
      </w:tr>
      <w:tr>
        <w:tc>
          <w:tcPr>
            <w:tcW w:type="dxa" w:w="1757"/>
            <w:shd w:val="clear" w:fill="FFFFFF"/>
          </w:tcPr>
          <w:p>
            <w:pPr>
              <w:spacing w:after="30" w:before="30" w:line="240" w:lineRule="auto"/>
            </w:pPr>
            <w:r>
              <w:rPr>
                <w:b/>
                <w:color w:val="1A1A1A"/>
                <w:sz w:val="16"/>
              </w:rPr>
              <w:t>Voice to text (optional)</w:t>
            </w:r>
          </w:p>
        </w:tc>
        <w:tc>
          <w:tcPr>
            <w:tcW w:type="dxa" w:w="4139"/>
            <w:shd w:val="clear" w:fill="FFFFFF"/>
          </w:tcPr>
          <w:p>
            <w:pPr>
              <w:spacing w:after="30" w:before="30" w:line="240" w:lineRule="auto"/>
            </w:pPr>
            <w:r>
              <w:rPr>
                <w:color w:val="1A1A1A"/>
                <w:sz w:val="16"/>
              </w:rPr>
              <w:t>OpenAI Whisper — an outbound call</w:t>
            </w:r>
          </w:p>
        </w:tc>
        <w:tc>
          <w:tcPr>
            <w:tcW w:type="dxa" w:w="4139"/>
            <w:shd w:val="clear" w:fill="FFFFFF"/>
          </w:tcPr>
          <w:p>
            <w:pPr>
              <w:spacing w:after="30" w:before="30" w:line="240" w:lineRule="auto"/>
            </w:pPr>
            <w:r>
              <w:rPr>
                <w:color w:val="1A1A1A"/>
                <w:sz w:val="16"/>
              </w:rPr>
              <w:t>OpenAI Whisper — an outbound call</w:t>
            </w:r>
          </w:p>
        </w:tc>
      </w:tr>
      <w:tr>
        <w:tc>
          <w:tcPr>
            <w:tcW w:type="dxa" w:w="1757"/>
            <w:shd w:val="clear" w:fill="FFFFFF"/>
          </w:tcPr>
          <w:p>
            <w:pPr>
              <w:spacing w:after="30" w:before="30" w:line="240" w:lineRule="auto"/>
            </w:pPr>
            <w:r>
              <w:rPr>
                <w:b/>
                <w:color w:val="1A1A1A"/>
                <w:sz w:val="16"/>
              </w:rPr>
              <w:t>Effort to adopt</w:t>
            </w:r>
          </w:p>
        </w:tc>
        <w:tc>
          <w:tcPr>
            <w:tcW w:type="dxa" w:w="4139"/>
            <w:shd w:val="clear" w:fill="FFFFFF"/>
          </w:tcPr>
          <w:p>
            <w:pPr>
              <w:spacing w:after="30" w:before="30" w:line="240" w:lineRule="auto"/>
            </w:pPr>
            <w:r>
              <w:rPr>
                <w:color w:val="1A1A1A"/>
                <w:sz w:val="16"/>
              </w:rPr>
              <w:t>About one day. Runbook rewrite, no application change.</w:t>
            </w:r>
          </w:p>
        </w:tc>
        <w:tc>
          <w:tcPr>
            <w:tcW w:type="dxa" w:w="4139"/>
            <w:shd w:val="clear" w:fill="FFFFFF"/>
          </w:tcPr>
          <w:p>
            <w:pPr>
              <w:spacing w:after="30" w:before="30" w:line="240" w:lineRule="auto"/>
            </w:pPr>
            <w:r>
              <w:rPr>
                <w:color w:val="1A1A1A"/>
                <w:sz w:val="16"/>
              </w:rPr>
              <w:t>Runbook already written and validated.</w:t>
            </w:r>
          </w:p>
        </w:tc>
      </w:tr>
    </w:tbl>
    <w:p>
      <w:pPr>
        <w:spacing w:after="60" w:before="0"/>
      </w:pPr>
    </w:p>
    <w:p>
      <w:pPr>
        <w:spacing w:after="80" w:before="0"/>
      </w:pPr>
      <w:r>
        <w:rPr>
          <w:b/>
          <w:color w:val="1A1A1A"/>
          <w:sz w:val="18"/>
        </w:rPr>
        <w:t xml:space="preserve">Two points worth making to the AI team. </w:t>
      </w:r>
      <w:r>
        <w:rPr>
          <w:b w:val="0"/>
          <w:color w:val="1A1A1A"/>
          <w:sz w:val="18"/>
        </w:rPr>
        <w:t>First, on both options the model is reached through our own cloud account — there is no third-party API key to issue, rotate or govern, because access is the platform's own identity system. Second, voice input is an optional extra: it calls OpenAI's Whisper directly and neither cloud hosts it, so if that call is not approved we switch it off and the tool remains fully usable by typing. It is not a dependency.</w:t>
      </w:r>
    </w:p>
    <w:p>
      <w:pPr>
        <w:spacing w:after="40" w:before="160"/>
      </w:pPr>
      <w:r>
        <w:rPr>
          <w:b/>
          <w:i w:val="0"/>
          <w:color w:val="712D85"/>
          <w:sz w:val="21"/>
        </w:rPr>
        <w:t>Why Claude and Whisper were chosen — and what changing them would cost</w:t>
      </w:r>
    </w:p>
    <w:p>
      <w:pPr>
        <w:spacing w:after="60" w:before="0"/>
      </w:pPr>
      <w:r>
        <w:rPr>
          <w:b/>
          <w:color w:val="1A1A1A"/>
          <w:sz w:val="18"/>
        </w:rPr>
        <w:t xml:space="preserve">This is not a judgement that Gemini cannot do the job. </w:t>
      </w:r>
      <w:r>
        <w:rPr>
          <w:b w:val="0"/>
          <w:color w:val="1A1A1A"/>
          <w:sz w:val="18"/>
        </w:rPr>
        <w:t>It is capable, and the tool could be rebuilt on it. The choice was made on two grounds:</w:t>
      </w:r>
    </w:p>
    <w:p>
      <w:pPr>
        <w:pStyle w:val="ListBullet"/>
        <w:spacing w:after="40" w:line="252" w:lineRule="auto"/>
        <w:ind w:left="283"/>
      </w:pPr>
      <w:r>
        <w:rPr>
          <w:b/>
          <w:color w:val="1A1A1A"/>
          <w:sz w:val="18"/>
        </w:rPr>
        <w:t xml:space="preserve">Capability, at the specific thing this tool depends on. </w:t>
      </w:r>
      <w:r>
        <w:rPr>
          <w:b w:val="0"/>
          <w:color w:val="1A1A1A"/>
          <w:sz w:val="18"/>
        </w:rPr>
        <w:t>Magpie stands or falls on reliable structured tool calls — the model proposing entries our code can validate. Claude leads on that work, and Whisper is the reference standard for transcription. Serious products in this space are built on these models. Building on something less capable at the one thing the architecture rests on is a poor trade.</w:t>
      </w:r>
    </w:p>
    <w:p>
      <w:pPr>
        <w:pStyle w:val="ListBullet"/>
        <w:spacing w:after="80" w:line="252" w:lineRule="auto"/>
        <w:ind w:left="283"/>
      </w:pPr>
      <w:r>
        <w:rPr>
          <w:b/>
          <w:color w:val="1A1A1A"/>
          <w:sz w:val="18"/>
        </w:rPr>
        <w:t xml:space="preserve">It is proven on Claude, and the proof does not transfer. </w:t>
      </w:r>
      <w:r>
        <w:rPr>
          <w:b w:val="0"/>
          <w:color w:val="1A1A1A"/>
          <w:sz w:val="18"/>
        </w:rPr>
        <w:t>The tool schemas, the interview prompts and the automated quality gate were all developed against Claude. That gate — three interviewee personas, three consecutive clean runs each — currently stands at nine passes from nine. Changing model vendor means rebuilding the integration and re-passing that gate from scratch: weeks of work, during which we have no evidence the output is trustworthy.</w:t>
      </w:r>
    </w:p>
    <w:p>
      <w:pPr>
        <w:spacing w:after="80" w:before="0"/>
      </w:pPr>
      <w:r>
        <w:rPr>
          <w:b/>
          <w:color w:val="1A1A1A"/>
          <w:sz w:val="18"/>
        </w:rPr>
        <w:t xml:space="preserve">Cost is not the argument either way. </w:t>
      </w:r>
      <w:r>
        <w:rPr>
          <w:b w:val="0"/>
          <w:color w:val="1A1A1A"/>
          <w:sz w:val="18"/>
        </w:rPr>
        <w:t>A full 200-interview pilot costs between £50 and £475 in model usage whichever model we choose. Two days of engineering costs more than the entire difference, so this should be decided on capability and governance, not price.</w:t>
      </w:r>
    </w:p>
    <w:p>
      <w:pPr>
        <w:spacing w:after="40" w:before="160"/>
      </w:pPr>
      <w:r>
        <w:rPr>
          <w:b/>
          <w:i w:val="0"/>
          <w:color w:val="712D85"/>
          <w:sz w:val="21"/>
        </w:rPr>
        <w:t>What we are asking for</w:t>
      </w:r>
    </w:p>
    <w:p>
      <w:pPr>
        <w:pStyle w:val="ListBullet"/>
        <w:spacing w:after="40" w:line="252" w:lineRule="auto"/>
        <w:ind w:left="283"/>
      </w:pPr>
      <w:r>
        <w:rPr>
          <w:b/>
          <w:color w:val="1A1A1A"/>
          <w:sz w:val="18"/>
        </w:rPr>
        <w:t xml:space="preserve">Either cloud. </w:t>
      </w:r>
      <w:r>
        <w:rPr>
          <w:b w:val="0"/>
          <w:color w:val="1A1A1A"/>
          <w:sz w:val="18"/>
        </w:rPr>
        <w:t>Tell us AWS or GCP and we will deploy there. AWS needs Bedrock enabled with Claude model access; GCP needs Vertex AI with the same.</w:t>
      </w:r>
    </w:p>
    <w:p>
      <w:pPr>
        <w:pStyle w:val="ListBullet"/>
        <w:spacing w:after="40" w:line="252" w:lineRule="auto"/>
        <w:ind w:left="283"/>
      </w:pPr>
      <w:r>
        <w:rPr>
          <w:b w:val="0"/>
          <w:color w:val="1A1A1A"/>
          <w:sz w:val="18"/>
        </w:rPr>
        <w:t>Keep Claude as the base model</w:t>
      </w:r>
      <w:r>
        <w:rPr>
          <w:b w:val="0"/>
          <w:color w:val="1A1A1A"/>
          <w:sz w:val="18"/>
        </w:rPr>
        <w:t>, reached through whichever platform is chosen — so it is governed by our own cloud account rather than a vendor key.</w:t>
      </w:r>
    </w:p>
    <w:p>
      <w:pPr>
        <w:pStyle w:val="ListBullet"/>
        <w:spacing w:after="120" w:line="252" w:lineRule="auto"/>
        <w:ind w:left="283"/>
      </w:pPr>
      <w:r>
        <w:rPr>
          <w:b/>
          <w:color w:val="1A1A1A"/>
          <w:sz w:val="18"/>
        </w:rPr>
        <w:t xml:space="preserve">Confirm whether the optional Whisper call is permitted. </w:t>
      </w:r>
      <w:r>
        <w:rPr>
          <w:b w:val="0"/>
          <w:color w:val="1A1A1A"/>
          <w:sz w:val="18"/>
        </w:rPr>
        <w:t>If not, we disable voice and lose nothing essential.</w:t>
      </w:r>
    </w:p>
    <w:p>
      <w:pPr>
        <w:spacing w:after="0" w:before="0"/>
      </w:pPr>
      <w:r>
        <w:rPr>
          <w:b w:val="0"/>
          <w:i/>
          <w:color w:val="5A5A5A"/>
          <w:sz w:val="17"/>
        </w:rPr>
        <w:t>Magpie is built, tested and demonstrated. Neither decision blocks the pilot — but both should be settled before we harden the deployment.</w:t>
      </w:r>
    </w:p>
    <w:p>
      <w:r>
        <w:br w:type="page"/>
      </w:r>
    </w:p>
    <w:p>
      <w:pPr>
        <w:spacing w:before="0"/>
        <w:jc w:val="center"/>
      </w:pPr>
      <w:r>
        <w:drawing>
          <wp:inline xmlns:a="http://schemas.openxmlformats.org/drawingml/2006/main" xmlns:pic="http://schemas.openxmlformats.org/drawingml/2006/picture">
            <wp:extent cx="6408000" cy="4943314"/>
            <wp:docPr id="1" name="Picture 1"/>
            <wp:cNvGraphicFramePr>
              <a:graphicFrameLocks noChangeAspect="1"/>
            </wp:cNvGraphicFramePr>
            <a:graphic>
              <a:graphicData uri="http://schemas.openxmlformats.org/drawingml/2006/picture">
                <pic:pic>
                  <pic:nvPicPr>
                    <pic:cNvPr id="0" name="flow-onepager.png"/>
                    <pic:cNvPicPr/>
                  </pic:nvPicPr>
                  <pic:blipFill>
                    <a:blip r:embed="rId9"/>
                    <a:stretch>
                      <a:fillRect/>
                    </a:stretch>
                  </pic:blipFill>
                  <pic:spPr>
                    <a:xfrm>
                      <a:off x="0" y="0"/>
                      <a:ext cx="6408000" cy="4943314"/>
                    </a:xfrm>
                    <a:prstGeom prst="rect"/>
                  </pic:spPr>
                </pic:pic>
              </a:graphicData>
            </a:graphic>
          </wp:inline>
        </w:drawing>
      </w:r>
    </w:p>
    <w:sectPr w:rsidR="00FC693F" w:rsidRPr="0006063C" w:rsidSect="00034616">
      <w:pgSz w:w="12240" w:h="15840"/>
      <w:pgMar w:top="680" w:right="907" w:bottom="56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1A1A1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