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 w:before="0"/>
      </w:pPr>
    </w:p>
    <w:p>
      <w:pPr>
        <w:spacing w:after="40" w:before="0"/>
      </w:pPr>
      <w:r>
        <w:rPr>
          <w:b/>
          <w:i w:val="0"/>
          <w:color w:val="712D85"/>
          <w:sz w:val="72"/>
        </w:rPr>
        <w:t>Magpie</w:t>
      </w:r>
    </w:p>
    <w:p>
      <w:pPr>
        <w:spacing w:after="360" w:before="0"/>
      </w:pPr>
      <w:r>
        <w:rPr>
          <w:b w:val="0"/>
          <w:i w:val="0"/>
          <w:color w:val="451B4F"/>
          <w:sz w:val="26"/>
        </w:rPr>
        <w:t>Process capture</w:t>
      </w:r>
    </w:p>
    <w:p>
      <w:pPr>
        <w:spacing w:after="100" w:before="0"/>
      </w:pPr>
      <w:r>
        <w:rPr>
          <w:b/>
          <w:i w:val="0"/>
          <w:color w:val="1A1A1A"/>
          <w:sz w:val="40"/>
        </w:rPr>
        <w:t>Moving to another GCP project</w:t>
      </w:r>
    </w:p>
    <w:p>
      <w:pPr>
        <w:spacing w:after="320" w:before="0"/>
      </w:pPr>
      <w:r>
        <w:rPr>
          <w:b w:val="0"/>
          <w:i w:val="0"/>
          <w:color w:val="5A5A5A"/>
          <w:sz w:val="21"/>
        </w:rPr>
        <w:t>Migration runbook · 21 August 2026</w:t>
      </w:r>
    </w:p>
    <w:p>
      <w:pPr>
        <w:spacing w:after="200" w:before="0"/>
      </w:pPr>
      <w:r>
        <w:rPr>
          <w:b w:val="0"/>
          <w:i w:val="0"/>
          <w:color w:val="1A1A1A"/>
          <w:sz w:val="21"/>
        </w:rPr>
        <w:t>The infrastructure moves with one apply — everything is parameterised by project, so a second environment is a second variables file rather than a second copy of the code. Three things do not move by themselves, and one of them may not be grantable at all. That one is on page two.</w:t>
      </w:r>
    </w:p>
    <w:p>
      <w:pPr>
        <w:spacing w:after="0" w:before="0"/>
      </w:pPr>
      <w:r>
        <w:rPr>
          <w:b w:val="0"/>
          <w:i/>
          <w:color w:val="5A5A5A"/>
          <w:sz w:val="18"/>
        </w:rPr>
        <w:t>This document is generated from MIGRATE-TO-NEW-PROJECT.md in the repository, so the two cannot drift. Run the commands from there rather than copying them out of Word — a smart quote in a shell command fails in a way that is hard to see.</w:t>
      </w:r>
    </w:p>
    <w:p>
      <w:r>
        <w:br w:type="page"/>
      </w:r>
    </w:p>
    <w:p>
      <w:pPr>
        <w:spacing w:after="80" w:before="80"/>
      </w:pPr>
      <w:r>
        <w:rPr>
          <w:b/>
          <w:i w:val="0"/>
          <w:color w:val="451B4F"/>
          <w:sz w:val="32"/>
        </w:rPr>
        <w:t>Moving Magpie to another GCP project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The infrastructure moves with one </w:t>
      </w:r>
      <w:r>
        <w:rPr>
          <w:rFonts w:ascii="Consolas" w:hAnsi="Consolas"/>
          <w:color w:val="712D85"/>
          <w:sz w:val="17"/>
        </w:rPr>
        <w:t>apply</w:t>
      </w:r>
      <w:r>
        <w:rPr>
          <w:color w:val="1A1A1A"/>
          <w:sz w:val="19"/>
        </w:rPr>
        <w:t xml:space="preserve">. Everything in </w:t>
      </w:r>
      <w:r>
        <w:rPr>
          <w:rFonts w:ascii="Consolas" w:hAnsi="Consolas"/>
          <w:color w:val="712D85"/>
          <w:sz w:val="17"/>
        </w:rPr>
        <w:t>infra/terraform</w:t>
      </w:r>
      <w:r>
        <w:rPr>
          <w:color w:val="1A1A1A"/>
          <w:sz w:val="19"/>
        </w:rPr>
        <w:t xml:space="preserve"> is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parameterised by </w:t>
      </w:r>
      <w:r>
        <w:rPr>
          <w:rFonts w:ascii="Consolas" w:hAnsi="Consolas"/>
          <w:color w:val="712D85"/>
          <w:sz w:val="17"/>
        </w:rPr>
        <w:t>project_id</w:t>
      </w:r>
      <w:r>
        <w:rPr>
          <w:color w:val="1A1A1A"/>
          <w:sz w:val="19"/>
        </w:rPr>
        <w:t>, so a second environment is a second variables file</w:t>
      </w:r>
    </w:p>
    <w:p>
      <w:pPr>
        <w:spacing w:after="100" w:line="259" w:lineRule="auto"/>
      </w:pPr>
      <w:r>
        <w:rPr>
          <w:color w:val="1A1A1A"/>
          <w:sz w:val="19"/>
        </w:rPr>
        <w:t>rather than a second copy of the code.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Three things do </w:t>
      </w:r>
      <w:r>
        <w:rPr>
          <w:b/>
          <w:color w:val="1A1A1A"/>
          <w:sz w:val="19"/>
        </w:rPr>
        <w:t>not</w:t>
      </w:r>
      <w:r>
        <w:rPr>
          <w:color w:val="1A1A1A"/>
          <w:sz w:val="19"/>
        </w:rPr>
        <w:t xml:space="preserve"> move by themselves, and one of them may not be grantable</w:t>
      </w:r>
    </w:p>
    <w:p>
      <w:pPr>
        <w:spacing w:after="100" w:line="259" w:lineRule="auto"/>
      </w:pPr>
      <w:r>
        <w:rPr>
          <w:color w:val="1A1A1A"/>
          <w:sz w:val="19"/>
        </w:rPr>
        <w:t>at all. Read "The one that can stop you" before booking a date.</w:t>
      </w:r>
    </w:p>
    <w:p>
      <w:pPr>
        <w:spacing w:after="120" w:before="120"/>
        <w:pBdr>
          <w:bottom w:val="single" w:sz="6" w:color="712D85"/>
        </w:pBdr>
      </w:pPr>
    </w:p>
    <w:p>
      <w:pPr>
        <w:spacing w:after="60" w:before="220"/>
      </w:pPr>
      <w:r>
        <w:rPr>
          <w:b/>
          <w:i w:val="0"/>
          <w:color w:val="451B4F"/>
          <w:sz w:val="27"/>
        </w:rPr>
        <w:t>What actually moves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712D85"/>
          </w:tcPr>
          <w:p>
            <w:pPr>
              <w:spacing w:after="40" w:before="40" w:line="245" w:lineRule="auto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6803"/>
            <w:shd w:val="clear" w:fill="712D85"/>
          </w:tcPr>
          <w:p>
            <w:pPr>
              <w:spacing w:after="40" w:before="40" w:line="245" w:lineRule="auto"/>
            </w:pPr>
            <w:r>
              <w:rPr>
                <w:b/>
                <w:color w:val="FFFFFF"/>
                <w:sz w:val="17"/>
              </w:rPr>
              <w:t>How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Infrastructure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rFonts w:ascii="Consolas" w:hAnsi="Consolas"/>
                <w:color w:val="712D85"/>
                <w:sz w:val="15"/>
              </w:rPr>
              <w:t>tofu apply</w:t>
            </w:r>
            <w:r>
              <w:rPr>
                <w:color w:val="1A1A1A"/>
                <w:sz w:val="17"/>
              </w:rPr>
              <w:t xml:space="preserve"> with a new var-file. Cloud SQL, networking, secrets, Cloud Run, the retention job, the account job.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Application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Unchanged. Nothing in the code names a project.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Container image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Rebuild and push to the new project's Artifact Registry.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Invite links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Take care of themselves — the app derives its origin from the request, so links carry whatever hostname the new service has. Links already issued on the old URL stop working.</w:t>
            </w:r>
          </w:p>
        </w:tc>
      </w:tr>
    </w:tbl>
    <w:p>
      <w:pPr>
        <w:spacing w:after="80" w:before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712D85"/>
          </w:tcPr>
          <w:p>
            <w:pPr>
              <w:spacing w:after="40" w:before="40" w:line="245" w:lineRule="auto"/>
            </w:pPr>
            <w:r>
              <w:rPr>
                <w:b/>
                <w:color w:val="FFFFFF"/>
                <w:sz w:val="17"/>
              </w:rPr>
              <w:t>Does not move by itself</w:t>
            </w:r>
          </w:p>
        </w:tc>
        <w:tc>
          <w:tcPr>
            <w:tcW w:type="dxa" w:w="6803"/>
            <w:shd w:val="clear" w:fill="712D85"/>
          </w:tcPr>
          <w:p>
            <w:pPr>
              <w:spacing w:after="40" w:before="40" w:line="245" w:lineRule="auto"/>
            </w:pPr>
            <w:r>
              <w:rPr>
                <w:b/>
                <w:color w:val="FFFFFF"/>
                <w:sz w:val="17"/>
              </w:rPr>
              <w:t>What to do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Terraform state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New bucket in the new project. State holds secrets — it does not follow you.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The two out-of-band secrets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Model API key and console password, set by hand.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Interview data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Only if you want it. See "Taking the data with you".</w:t>
            </w:r>
          </w:p>
        </w:tc>
      </w:tr>
      <w:tr>
        <w:tc>
          <w:tcPr>
            <w:tcW w:type="dxa" w:w="2835"/>
            <w:shd w:val="clear" w:fill="FFFFFF"/>
          </w:tcPr>
          <w:p>
            <w:pPr>
              <w:spacing w:after="40" w:before="40" w:line="245" w:lineRule="auto"/>
            </w:pPr>
            <w:r>
              <w:rPr>
                <w:b/>
                <w:color w:val="1A1A1A"/>
                <w:sz w:val="17"/>
              </w:rPr>
              <w:t>The org-policy exception</w:t>
            </w:r>
          </w:p>
        </w:tc>
        <w:tc>
          <w:tcPr>
            <w:tcW w:type="dxa" w:w="6803"/>
            <w:shd w:val="clear" w:fill="FFFFFF"/>
          </w:tcPr>
          <w:p>
            <w:pPr>
              <w:spacing w:after="40" w:before="40" w:line="245" w:lineRule="auto"/>
            </w:pPr>
            <w:r>
              <w:rPr>
                <w:color w:val="1A1A1A"/>
                <w:sz w:val="17"/>
              </w:rPr>
              <w:t>Needs org-policy admin in the *new* organisation. This is the risk.</w:t>
            </w:r>
          </w:p>
        </w:tc>
      </w:tr>
    </w:tbl>
    <w:p>
      <w:pPr>
        <w:spacing w:after="80" w:before="0"/>
      </w:pPr>
    </w:p>
    <w:p>
      <w:pPr>
        <w:spacing w:after="120" w:before="120"/>
        <w:pBdr>
          <w:bottom w:val="single" w:sz="6" w:color="712D85"/>
        </w:pBdr>
      </w:pPr>
    </w:p>
    <w:p>
      <w:pPr>
        <w:spacing w:after="60" w:before="220"/>
      </w:pPr>
      <w:r>
        <w:rPr>
          <w:b/>
          <w:i w:val="0"/>
          <w:color w:val="451B4F"/>
          <w:sz w:val="27"/>
        </w:rPr>
        <w:t>The one that can stop you</w:t>
      </w:r>
    </w:p>
    <w:p>
      <w:pPr>
        <w:spacing w:after="100" w:line="259" w:lineRule="auto"/>
      </w:pPr>
      <w:r>
        <w:rPr>
          <w:color w:val="1A1A1A"/>
          <w:sz w:val="19"/>
        </w:rPr>
        <w:t>Magpie's interview face has no login by design — an informant opens a tokenised</w:t>
      </w:r>
    </w:p>
    <w:p>
      <w:pPr>
        <w:spacing w:after="100" w:line="259" w:lineRule="auto"/>
      </w:pPr>
      <w:r>
        <w:rPr>
          <w:color w:val="1A1A1A"/>
          <w:sz w:val="19"/>
        </w:rPr>
        <w:t>link. So Cloud Run must accept unauthenticated requests, which means an</w:t>
      </w:r>
    </w:p>
    <w:p>
      <w:pPr>
        <w:spacing w:after="100" w:line="259" w:lineRule="auto"/>
      </w:pPr>
      <w:r>
        <w:rPr>
          <w:rFonts w:ascii="Consolas" w:hAnsi="Consolas"/>
          <w:color w:val="712D85"/>
          <w:sz w:val="17"/>
        </w:rPr>
        <w:t>allUsers</w:t>
      </w:r>
      <w:r>
        <w:rPr>
          <w:color w:val="1A1A1A"/>
          <w:sz w:val="19"/>
        </w:rPr>
        <w:t xml:space="preserve"> IAM binding.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Most organisations enforce </w:t>
      </w:r>
      <w:r>
        <w:rPr>
          <w:rFonts w:ascii="Consolas" w:hAnsi="Consolas"/>
          <w:color w:val="712D85"/>
          <w:sz w:val="17"/>
        </w:rPr>
        <w:t>constraints/iam.allowedPolicyMemberDomains</w:t>
      </w:r>
      <w:r>
        <w:rPr>
          <w:color w:val="1A1A1A"/>
          <w:sz w:val="19"/>
        </w:rPr>
        <w:t>, which</w:t>
      </w:r>
    </w:p>
    <w:p>
      <w:pPr>
        <w:spacing w:after="100" w:line="259" w:lineRule="auto"/>
      </w:pPr>
      <w:r>
        <w:rPr>
          <w:color w:val="1A1A1A"/>
          <w:sz w:val="19"/>
        </w:rPr>
        <w:t>refuses that binding. In your own organisation you granted a project-scoped</w:t>
      </w:r>
    </w:p>
    <w:p>
      <w:pPr>
        <w:spacing w:after="100" w:line="259" w:lineRule="auto"/>
      </w:pPr>
      <w:r>
        <w:rPr>
          <w:color w:val="1A1A1A"/>
          <w:sz w:val="19"/>
        </w:rPr>
        <w:t>exception. **In the client's organisation you will not be able to grant it</w:t>
      </w:r>
    </w:p>
    <w:p>
      <w:pPr>
        <w:spacing w:after="100" w:line="259" w:lineRule="auto"/>
      </w:pPr>
      <w:r>
        <w:rPr>
          <w:color w:val="1A1A1A"/>
          <w:sz w:val="19"/>
        </w:rPr>
        <w:t>yourself, and they may say no** — "make this internet-facing" is a real thing to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ask a security team, and </w:t>
      </w:r>
      <w:r>
        <w:rPr>
          <w:rFonts w:ascii="Consolas" w:hAnsi="Consolas"/>
          <w:color w:val="712D85"/>
          <w:sz w:val="17"/>
        </w:rPr>
        <w:t>allowAll</w:t>
      </w:r>
      <w:r>
        <w:rPr>
          <w:color w:val="1A1A1A"/>
          <w:sz w:val="19"/>
        </w:rPr>
        <w:t xml:space="preserve"> on that constraint is broader than it sounds:</w:t>
      </w:r>
    </w:p>
    <w:p>
      <w:pPr>
        <w:spacing w:after="100" w:line="259" w:lineRule="auto"/>
      </w:pPr>
      <w:r>
        <w:rPr>
          <w:color w:val="1A1A1A"/>
          <w:sz w:val="19"/>
        </w:rPr>
        <w:t>it also removes the guard that would refuse a public state bucket or a public</w:t>
      </w:r>
    </w:p>
    <w:p>
      <w:pPr>
        <w:spacing w:after="100" w:line="259" w:lineRule="auto"/>
      </w:pPr>
      <w:r>
        <w:rPr>
          <w:color w:val="1A1A1A"/>
          <w:sz w:val="19"/>
        </w:rPr>
        <w:t>secret in the same project.</w:t>
      </w:r>
    </w:p>
    <w:p>
      <w:pPr>
        <w:spacing w:after="100" w:line="259" w:lineRule="auto"/>
      </w:pPr>
      <w:r>
        <w:rPr>
          <w:color w:val="1A1A1A"/>
          <w:sz w:val="19"/>
        </w:rPr>
        <w:t>Ask early. The answer determines the shape of the deployment:</w:t>
      </w:r>
    </w:p>
    <w:p>
      <w:pPr>
        <w:pStyle w:val="ListBullet"/>
        <w:spacing w:after="50" w:line="259" w:lineRule="auto"/>
        <w:ind w:left="340"/>
      </w:pPr>
      <w:r>
        <w:rPr>
          <w:b/>
          <w:color w:val="1A1A1A"/>
          <w:sz w:val="19"/>
        </w:rPr>
        <w:t>Permitted</w:t>
      </w:r>
      <w:r>
        <w:rPr>
          <w:color w:val="1A1A1A"/>
          <w:sz w:val="19"/>
        </w:rPr>
        <w:t xml:space="preserve"> → apply </w:t>
      </w:r>
      <w:r>
        <w:rPr>
          <w:rFonts w:ascii="Consolas" w:hAnsi="Consolas"/>
          <w:color w:val="712D85"/>
          <w:sz w:val="17"/>
        </w:rPr>
        <w:t>infra/terraform/allow-public-access.example.yaml</w:t>
      </w:r>
      <w:r>
        <w:rPr>
          <w:color w:val="1A1A1A"/>
          <w:sz w:val="19"/>
        </w:rPr>
        <w:t xml:space="preserve"> with the</w:t>
      </w:r>
    </w:p>
    <w:p>
      <w:pPr>
        <w:spacing w:after="100" w:line="259" w:lineRule="auto"/>
      </w:pPr>
      <w:r>
        <w:rPr>
          <w:color w:val="1A1A1A"/>
          <w:sz w:val="19"/>
        </w:rPr>
        <w:t>new project id, and everything below works as written.</w:t>
      </w:r>
    </w:p>
    <w:p>
      <w:pPr>
        <w:pStyle w:val="ListBullet"/>
        <w:spacing w:after="50" w:line="259" w:lineRule="auto"/>
        <w:ind w:left="340"/>
      </w:pPr>
      <w:r>
        <w:rPr>
          <w:b/>
          <w:color w:val="1A1A1A"/>
          <w:sz w:val="19"/>
        </w:rPr>
        <w:t>Refused</w:t>
      </w:r>
      <w:r>
        <w:rPr>
          <w:color w:val="1A1A1A"/>
          <w:sz w:val="19"/>
        </w:rPr>
        <w:t xml:space="preserve"> → the answer is </w:t>
      </w:r>
      <w:r>
        <w:rPr>
          <w:b/>
          <w:color w:val="1A1A1A"/>
          <w:sz w:val="19"/>
        </w:rPr>
        <w:t>Identity-Aware Proxy</w:t>
      </w:r>
      <w:r>
        <w:rPr>
          <w:color w:val="1A1A1A"/>
          <w:sz w:val="19"/>
        </w:rPr>
        <w:t>: informants sign in with</w:t>
      </w:r>
    </w:p>
    <w:p>
      <w:pPr>
        <w:spacing w:after="100" w:line="259" w:lineRule="auto"/>
      </w:pPr>
      <w:r>
        <w:rPr>
          <w:color w:val="1A1A1A"/>
          <w:sz w:val="19"/>
        </w:rPr>
        <w:t>their own account, the org policy is untouched, and the exception file is</w:t>
      </w:r>
    </w:p>
    <w:p>
      <w:pPr>
        <w:spacing w:after="100" w:line="259" w:lineRule="auto"/>
      </w:pPr>
      <w:r>
        <w:rPr>
          <w:color w:val="1A1A1A"/>
          <w:sz w:val="19"/>
        </w:rPr>
        <w:t>deleted. It costs a global load balancer and a domain, and it removes the "no</w:t>
      </w:r>
    </w:p>
    <w:p>
      <w:pPr>
        <w:spacing w:after="100" w:line="259" w:lineRule="auto"/>
      </w:pPr>
      <w:r>
        <w:rPr>
          <w:color w:val="1A1A1A"/>
          <w:sz w:val="19"/>
        </w:rPr>
        <w:t>account, no training" property the interview face was built around. It is a</w:t>
      </w:r>
    </w:p>
    <w:p>
      <w:pPr>
        <w:spacing w:after="100" w:line="259" w:lineRule="auto"/>
      </w:pPr>
      <w:r>
        <w:rPr>
          <w:color w:val="1A1A1A"/>
          <w:sz w:val="19"/>
        </w:rPr>
        <w:t>change of design, not a configuration flag — budget for it rather than</w:t>
      </w:r>
    </w:p>
    <w:p>
      <w:pPr>
        <w:spacing w:after="100" w:line="259" w:lineRule="auto"/>
      </w:pPr>
      <w:r>
        <w:rPr>
          <w:color w:val="1A1A1A"/>
          <w:sz w:val="19"/>
        </w:rPr>
        <w:t>discovering it on the day.</w:t>
      </w:r>
    </w:p>
    <w:p>
      <w:pPr>
        <w:spacing w:after="100" w:line="259" w:lineRule="auto"/>
      </w:pPr>
      <w:r>
        <w:rPr>
          <w:color w:val="1A1A1A"/>
          <w:sz w:val="19"/>
        </w:rPr>
        <w:t>If they can put the pilot behind their VPN instead, that is a third answer and a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good one: drop </w:t>
      </w:r>
      <w:r>
        <w:rPr>
          <w:rFonts w:ascii="Consolas" w:hAnsi="Consolas"/>
          <w:color w:val="712D85"/>
          <w:sz w:val="17"/>
        </w:rPr>
        <w:t>allUsers</w:t>
      </w:r>
      <w:r>
        <w:rPr>
          <w:color w:val="1A1A1A"/>
          <w:sz w:val="19"/>
        </w:rPr>
        <w:t>, keep everything else.</w:t>
      </w:r>
    </w:p>
    <w:p>
      <w:pPr>
        <w:spacing w:after="120" w:before="120"/>
        <w:pBdr>
          <w:bottom w:val="single" w:sz="6" w:color="712D85"/>
        </w:pBdr>
      </w:pPr>
    </w:p>
    <w:p>
      <w:pPr>
        <w:spacing w:after="60" w:before="220"/>
      </w:pPr>
      <w:r>
        <w:rPr>
          <w:b/>
          <w:i w:val="0"/>
          <w:color w:val="451B4F"/>
          <w:sz w:val="27"/>
        </w:rPr>
        <w:t>The migration, in order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1 · Before you touch anything</w:t>
      </w:r>
    </w:p>
    <w:p>
      <w:pPr>
        <w:spacing w:after="100" w:line="259" w:lineRule="auto"/>
      </w:pPr>
      <w:r>
        <w:rPr>
          <w:color w:val="1A1A1A"/>
          <w:sz w:val="19"/>
        </w:rPr>
        <w:t>Get these three answers first. Each of them changes the plan:</w:t>
      </w:r>
    </w:p>
    <w:p>
      <w:pPr>
        <w:pStyle w:val="ListBullet"/>
        <w:spacing w:after="50" w:line="259" w:lineRule="auto"/>
        <w:ind w:left="340"/>
      </w:pPr>
      <w:r>
        <w:rPr>
          <w:color w:val="1A1A1A"/>
          <w:sz w:val="19"/>
        </w:rPr>
        <w:t>Will the organisation permit public Cloud Run on this project? (above)</w:t>
      </w:r>
    </w:p>
    <w:p>
      <w:pPr>
        <w:pStyle w:val="ListBullet"/>
        <w:spacing w:after="50" w:line="259" w:lineRule="auto"/>
        <w:ind w:left="340"/>
      </w:pPr>
      <w:r>
        <w:rPr>
          <w:color w:val="1A1A1A"/>
          <w:sz w:val="19"/>
        </w:rPr>
        <w:t>Do you want the interview data brought across, or a clean start?</w:t>
      </w:r>
    </w:p>
    <w:p>
      <w:pPr>
        <w:pStyle w:val="ListBullet"/>
        <w:spacing w:after="50" w:line="259" w:lineRule="auto"/>
        <w:ind w:left="340"/>
      </w:pPr>
      <w:r>
        <w:rPr>
          <w:color w:val="1A1A1A"/>
          <w:sz w:val="19"/>
        </w:rPr>
        <w:t xml:space="preserve">Who holds </w:t>
      </w:r>
      <w:r>
        <w:rPr>
          <w:rFonts w:ascii="Consolas" w:hAnsi="Consolas"/>
          <w:color w:val="712D85"/>
          <w:sz w:val="17"/>
        </w:rPr>
        <w:t>roles/owner</w:t>
      </w:r>
      <w:r>
        <w:rPr>
          <w:color w:val="1A1A1A"/>
          <w:sz w:val="19"/>
        </w:rPr>
        <w:t>, or the equivalent set, on the new project?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2 · State bucket</w:t>
      </w:r>
    </w:p>
    <w:p>
      <w:pPr>
        <w:spacing w:after="100" w:line="259" w:lineRule="auto"/>
      </w:pPr>
      <w:r>
        <w:rPr>
          <w:color w:val="1A1A1A"/>
          <w:sz w:val="19"/>
        </w:rPr>
        <w:t>Terraform state contains the database password, the retention token and the</w:t>
      </w:r>
    </w:p>
    <w:p>
      <w:pPr>
        <w:spacing w:after="100" w:line="259" w:lineRule="auto"/>
      </w:pPr>
      <w:r>
        <w:rPr>
          <w:color w:val="1A1A1A"/>
          <w:sz w:val="19"/>
        </w:rPr>
        <w:t>session secret in cleartext. It belongs in the new project, not the old 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export NEW=the-new-project-id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export REGION=europe-west2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storage buckets create gs://$NEW-tfstate \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 --project=$NEW --location=$REGION --uniform-bucket-level-access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storage buckets update gs://$NEW-tfstate --versioning</w:t>
            </w:r>
          </w:p>
        </w:tc>
      </w:tr>
    </w:tbl>
    <w:p>
      <w:pPr>
        <w:spacing w:after="80" w:before="0"/>
      </w:pPr>
    </w:p>
    <w:p>
      <w:pPr>
        <w:spacing w:after="60" w:before="180"/>
      </w:pPr>
      <w:r>
        <w:rPr>
          <w:b/>
          <w:i w:val="0"/>
          <w:color w:val="712D85"/>
          <w:sz w:val="22"/>
        </w:rPr>
        <w:t>3 · Environment files</w:t>
      </w:r>
    </w:p>
    <w:p>
      <w:pPr>
        <w:spacing w:after="100" w:line="259" w:lineRule="auto"/>
      </w:pPr>
      <w:r>
        <w:rPr>
          <w:color w:val="1A1A1A"/>
          <w:sz w:val="19"/>
        </w:rPr>
        <w:t>Two small files, copied from the examples: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cd infra/terraform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sed "s/YOUR-PROJECT/$NEW/" envs/example.backend.hcl &gt; envs/vmo2.backend.hcl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sed "s/your-gcp-project/$NEW/g" envs/example.tfvars   &gt; envs/vmo2.tfvars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color w:val="1A1A1A"/>
          <w:sz w:val="19"/>
        </w:rPr>
        <w:t xml:space="preserve">Then edit </w:t>
      </w:r>
      <w:r>
        <w:rPr>
          <w:rFonts w:ascii="Consolas" w:hAnsi="Consolas"/>
          <w:color w:val="712D85"/>
          <w:sz w:val="17"/>
        </w:rPr>
        <w:t>envs/vmo2.tfvars</w:t>
      </w:r>
      <w:r>
        <w:rPr>
          <w:color w:val="1A1A1A"/>
          <w:sz w:val="19"/>
        </w:rPr>
        <w:t xml:space="preserve"> — at minimum the </w:t>
      </w:r>
      <w:r>
        <w:rPr>
          <w:rFonts w:ascii="Consolas" w:hAnsi="Consolas"/>
          <w:color w:val="712D85"/>
          <w:sz w:val="17"/>
        </w:rPr>
        <w:t>image</w:t>
      </w:r>
      <w:r>
        <w:rPr>
          <w:color w:val="1A1A1A"/>
          <w:sz w:val="19"/>
        </w:rPr>
        <w:t xml:space="preserve"> tag, which step 5 gives you.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4 · Registry first</w:t>
      </w:r>
    </w:p>
    <w:p>
      <w:pPr>
        <w:spacing w:after="100" w:line="259" w:lineRule="auto"/>
      </w:pPr>
      <w:r>
        <w:rPr>
          <w:color w:val="1A1A1A"/>
          <w:sz w:val="19"/>
        </w:rPr>
        <w:t>Cloud Run needs an image and the image needs somewhere to go, so create the</w:t>
      </w:r>
    </w:p>
    <w:p>
      <w:pPr>
        <w:spacing w:after="100" w:line="259" w:lineRule="auto"/>
      </w:pPr>
      <w:r>
        <w:rPr>
          <w:color w:val="1A1A1A"/>
          <w:sz w:val="19"/>
        </w:rPr>
        <w:t>registry before anything else: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tofu init -backend-config=envs/vmo2.backend.hcl -reconfigure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export TF_VAR_db_password="$(openssl rand -base64 24)"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export TF_VAR_retention_token="$(openssl rand -hex 32)"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tofu apply -var-file=envs/vmo2.tfvars -target=google_artifact_registry_repository.magpie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color w:val="1A1A1A"/>
          <w:sz w:val="19"/>
        </w:rPr>
        <w:t>Keep those two exports somewhere durable — a password manager. Losing them means</w:t>
      </w:r>
    </w:p>
    <w:p>
      <w:pPr>
        <w:spacing w:after="100" w:line="259" w:lineRule="auto"/>
      </w:pPr>
      <w:r>
        <w:rPr>
          <w:color w:val="1A1A1A"/>
          <w:sz w:val="19"/>
        </w:rPr>
        <w:t>a rotation, not a disaster, but it is avoidable work.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5 · Build and push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REPO=$(tofu output -raw image_repository)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TAG=$REPO/magpie:$(date +%Y-%m-%d)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auth configure-docker ${REGION}-docker.pkg.dev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docker build --platform linux/amd64 -t $TAG ../..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docker push $TAG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rFonts w:ascii="Consolas" w:hAnsi="Consolas"/>
          <w:color w:val="712D85"/>
          <w:sz w:val="17"/>
        </w:rPr>
        <w:t>--platform linux/amd64</w:t>
      </w:r>
      <w:r>
        <w:rPr>
          <w:color w:val="1A1A1A"/>
          <w:sz w:val="19"/>
        </w:rPr>
        <w:t xml:space="preserve"> is not optional on an Apple Silicon machine. Cloud Run</w:t>
      </w:r>
    </w:p>
    <w:p>
      <w:pPr>
        <w:spacing w:after="100" w:line="259" w:lineRule="auto"/>
      </w:pPr>
      <w:r>
        <w:rPr>
          <w:color w:val="1A1A1A"/>
          <w:sz w:val="19"/>
        </w:rPr>
        <w:t>cannot run an arm64 image and the failure does not say so — the revision simply</w:t>
      </w:r>
    </w:p>
    <w:p>
      <w:pPr>
        <w:spacing w:after="100" w:line="259" w:lineRule="auto"/>
      </w:pPr>
      <w:r>
        <w:rPr>
          <w:color w:val="1A1A1A"/>
          <w:sz w:val="19"/>
        </w:rPr>
        <w:t>never becomes ready.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Put </w:t>
      </w:r>
      <w:r>
        <w:rPr>
          <w:rFonts w:ascii="Consolas" w:hAnsi="Consolas"/>
          <w:color w:val="712D85"/>
          <w:sz w:val="17"/>
        </w:rPr>
        <w:t>$TAG</w:t>
      </w:r>
      <w:r>
        <w:rPr>
          <w:color w:val="1A1A1A"/>
          <w:sz w:val="19"/>
        </w:rPr>
        <w:t xml:space="preserve"> into </w:t>
      </w:r>
      <w:r>
        <w:rPr>
          <w:rFonts w:ascii="Consolas" w:hAnsi="Consolas"/>
          <w:color w:val="712D85"/>
          <w:sz w:val="17"/>
        </w:rPr>
        <w:t>envs/vmo2.tfvars</w:t>
      </w:r>
      <w:r>
        <w:rPr>
          <w:color w:val="1A1A1A"/>
          <w:sz w:val="19"/>
        </w:rPr>
        <w:t xml:space="preserve"> as </w:t>
      </w:r>
      <w:r>
        <w:rPr>
          <w:rFonts w:ascii="Consolas" w:hAnsi="Consolas"/>
          <w:color w:val="712D85"/>
          <w:sz w:val="17"/>
        </w:rPr>
        <w:t>image</w:t>
      </w:r>
      <w:r>
        <w:rPr>
          <w:color w:val="1A1A1A"/>
          <w:sz w:val="19"/>
        </w:rPr>
        <w:t>.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6 · The org policy, if permitted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sed "s/PROJECT_ID/$NEW/" allow-public-access.example.yaml &gt; /tmp/policy.yaml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org-policies set-policy /tmp/policy.yaml --project=$NEW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color w:val="1A1A1A"/>
          <w:sz w:val="19"/>
        </w:rPr>
        <w:t>If this is refused, stop and settle the IAP question before continuing — the</w:t>
      </w:r>
    </w:p>
    <w:p>
      <w:pPr>
        <w:spacing w:after="100" w:line="259" w:lineRule="auto"/>
      </w:pPr>
      <w:r>
        <w:rPr>
          <w:color w:val="1A1A1A"/>
          <w:sz w:val="19"/>
        </w:rPr>
        <w:t>apply will otherwise succeed with a service nobody outside the project can reach.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7 · Everything else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tofu apply -var-file=envs/vmo2.tfvars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color w:val="1A1A1A"/>
          <w:sz w:val="19"/>
        </w:rPr>
        <w:t>Roughly fifteen minutes, nearly all of it Cloud SQL.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8 · The two secrets Terraform never holds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printf 'sk-ant-...'   | gcloud secrets versions add magpie-anthropic-api-key --project=$NEW --data-file=-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printf 'a-strong-one' | gcloud secrets versions add magpie-admin-password    --project=$NEW --data-file=-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run services update magpie --project=$NEW --region=$REGION \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 --update-labels=secrets-set=$(date +%s)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rFonts w:ascii="Consolas" w:hAnsi="Consolas"/>
          <w:color w:val="712D85"/>
          <w:sz w:val="17"/>
        </w:rPr>
        <w:t>printf</w:t>
      </w:r>
      <w:r>
        <w:rPr>
          <w:color w:val="1A1A1A"/>
          <w:sz w:val="19"/>
        </w:rPr>
        <w:t xml:space="preserve">, not </w:t>
      </w:r>
      <w:r>
        <w:rPr>
          <w:rFonts w:ascii="Consolas" w:hAnsi="Consolas"/>
          <w:color w:val="712D85"/>
          <w:sz w:val="17"/>
        </w:rPr>
        <w:t>echo</w:t>
      </w:r>
      <w:r>
        <w:rPr>
          <w:color w:val="1A1A1A"/>
          <w:sz w:val="19"/>
        </w:rPr>
        <w:t xml:space="preserve"> — a trailing newline becomes part of the secret and produces</w:t>
      </w:r>
    </w:p>
    <w:p>
      <w:pPr>
        <w:spacing w:after="100" w:line="259" w:lineRule="auto"/>
      </w:pPr>
      <w:r>
        <w:rPr>
          <w:color w:val="1A1A1A"/>
          <w:sz w:val="19"/>
        </w:rPr>
        <w:t>a console password that silently never works.</w:t>
      </w:r>
    </w:p>
    <w:p>
      <w:pPr>
        <w:spacing w:after="60" w:before="180"/>
      </w:pPr>
      <w:r>
        <w:rPr>
          <w:b/>
          <w:i w:val="0"/>
          <w:color w:val="712D85"/>
          <w:sz w:val="22"/>
        </w:rPr>
        <w:t>9 · Check it, then arm retention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URL=$(tofu output -raw service_url)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curl -s $URL/health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open $URL/console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curl -s -X POST -H "X-Retention-Token: $TF_VAR_retention_token" \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 "$URL/api/admin/retention?dryRun=1"</w:t>
            </w:r>
          </w:p>
        </w:tc>
      </w:tr>
    </w:tbl>
    <w:p>
      <w:pPr>
        <w:spacing w:after="80" w:before="0"/>
      </w:pPr>
    </w:p>
    <w:p>
      <w:pPr>
        <w:spacing w:after="60" w:before="180"/>
      </w:pPr>
      <w:r>
        <w:rPr>
          <w:b/>
          <w:i w:val="0"/>
          <w:color w:val="712D85"/>
          <w:sz w:val="22"/>
        </w:rPr>
        <w:t>10 · Console accounts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Create the first one through the job, then the rest from </w:t>
      </w:r>
      <w:r>
        <w:rPr>
          <w:b/>
          <w:color w:val="1A1A1A"/>
          <w:sz w:val="19"/>
        </w:rPr>
        <w:t>console → People</w:t>
      </w:r>
      <w:r>
        <w:rPr>
          <w:color w:val="1A1A1A"/>
          <w:sz w:val="19"/>
        </w:rP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npm run console:user -- --credentials "Their Name"   # generates locally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run jobs execute magpie-console-user --project=$NEW --region=$REGION --wait \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 --args="--add,someone@example.com,--name,Their Name,--hash,&lt;the hash it printed&gt;"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color w:val="1A1A1A"/>
          <w:sz w:val="19"/>
        </w:rPr>
        <w:t>The password is generated on your machine and never sent to the job, because</w:t>
      </w:r>
    </w:p>
    <w:p>
      <w:pPr>
        <w:spacing w:after="100" w:line="259" w:lineRule="auto"/>
      </w:pPr>
      <w:r>
        <w:rPr>
          <w:color w:val="1A1A1A"/>
          <w:sz w:val="19"/>
        </w:rPr>
        <w:t>everything the job prints lands in Cloud Logging for thirty days.</w:t>
      </w:r>
    </w:p>
    <w:p>
      <w:pPr>
        <w:spacing w:after="120" w:before="120"/>
        <w:pBdr>
          <w:bottom w:val="single" w:sz="6" w:color="712D85"/>
        </w:pBdr>
      </w:pPr>
    </w:p>
    <w:p>
      <w:pPr>
        <w:spacing w:after="60" w:before="220"/>
      </w:pPr>
      <w:r>
        <w:rPr>
          <w:b/>
          <w:i w:val="0"/>
          <w:color w:val="451B4F"/>
          <w:sz w:val="27"/>
        </w:rPr>
        <w:t>Taking the data with you</w:t>
      </w:r>
    </w:p>
    <w:p>
      <w:pPr>
        <w:spacing w:after="100" w:line="259" w:lineRule="auto"/>
      </w:pPr>
      <w:r>
        <w:rPr>
          <w:color w:val="1A1A1A"/>
          <w:sz w:val="19"/>
        </w:rPr>
        <w:t>Only if you want it. The current environment holds test campaigns and simulated</w:t>
      </w:r>
    </w:p>
    <w:p>
      <w:pPr>
        <w:spacing w:after="100" w:line="259" w:lineRule="auto"/>
      </w:pPr>
      <w:r>
        <w:rPr>
          <w:color w:val="1A1A1A"/>
          <w:sz w:val="19"/>
        </w:rPr>
        <w:t>interviews, and a clean start is usually the better answer — but the mechanism is</w:t>
      </w:r>
    </w:p>
    <w:p>
      <w:pPr>
        <w:spacing w:after="100" w:line="259" w:lineRule="auto"/>
      </w:pPr>
      <w:r>
        <w:rPr>
          <w:color w:val="1A1A1A"/>
          <w:sz w:val="19"/>
        </w:rPr>
        <w:t>here if you need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fill="F5F2F7"/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5A5A5A"/>
                <w:sz w:val="16"/>
              </w:rPr>
              <w:t># Export from the old project into a bucket the new project can read.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sql export sql magpie-db gs://$NEW-tfstate/migrate/magpie.sql \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 --project=magpie-505120 --database=magpie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5A5A5A"/>
                <w:sz w:val="16"/>
              </w:rPr>
              <w:t># Grant the new instance's service account read on that object, then: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>gcloud sql import sql magpie-db gs://$NEW-tfstate/migrate/magpie.sql \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331C3B"/>
                <w:sz w:val="16"/>
              </w:rPr>
              <w:t xml:space="preserve">  --project=$NEW --database=magpie</w:t>
            </w:r>
          </w:p>
        </w:tc>
      </w:tr>
    </w:tbl>
    <w:p>
      <w:pPr>
        <w:spacing w:after="80" w:before="0"/>
      </w:pPr>
    </w:p>
    <w:p>
      <w:pPr>
        <w:spacing w:after="100" w:line="259" w:lineRule="auto"/>
      </w:pPr>
      <w:r>
        <w:rPr>
          <w:color w:val="1A1A1A"/>
          <w:sz w:val="19"/>
        </w:rPr>
        <w:t xml:space="preserve">Two cautions. </w:t>
      </w:r>
      <w:r>
        <w:rPr>
          <w:b/>
          <w:color w:val="1A1A1A"/>
          <w:sz w:val="19"/>
        </w:rPr>
        <w:t>Import into a freshly migrated, empty schema</w:t>
      </w:r>
      <w:r>
        <w:rPr>
          <w:color w:val="1A1A1A"/>
          <w:sz w:val="19"/>
        </w:rPr>
        <w:t xml:space="preserve"> — the container runs</w:t>
      </w:r>
    </w:p>
    <w:p>
      <w:pPr>
        <w:spacing w:after="100" w:line="259" w:lineRule="auto"/>
      </w:pPr>
      <w:r>
        <w:rPr>
          <w:color w:val="1A1A1A"/>
          <w:sz w:val="19"/>
        </w:rPr>
        <w:t>migrations at boot, so let it start once before importing, and expect conflicts if</w:t>
      </w:r>
    </w:p>
    <w:p>
      <w:pPr>
        <w:spacing w:after="100" w:line="259" w:lineRule="auto"/>
      </w:pPr>
      <w:r>
        <w:rPr>
          <w:color w:val="1A1A1A"/>
          <w:sz w:val="19"/>
        </w:rPr>
        <w:t>you import over data. And **the data contains real names and work email</w:t>
      </w:r>
    </w:p>
    <w:p>
      <w:pPr>
        <w:spacing w:after="100" w:line="259" w:lineRule="auto"/>
      </w:pPr>
      <w:r>
        <w:rPr>
          <w:color w:val="1A1A1A"/>
          <w:sz w:val="19"/>
        </w:rPr>
        <w:t>addresses**, so moving it between organisations is a data-protection decision, not</w:t>
      </w:r>
    </w:p>
    <w:p>
      <w:pPr>
        <w:spacing w:after="100" w:line="259" w:lineRule="auto"/>
      </w:pPr>
      <w:r>
        <w:rPr>
          <w:color w:val="1A1A1A"/>
          <w:sz w:val="19"/>
        </w:rPr>
        <w:t>a technical one. If in doubt, start clean: it costs one seeded campaign.</w:t>
      </w:r>
    </w:p>
    <w:p>
      <w:pPr>
        <w:spacing w:after="120" w:before="120"/>
        <w:pBdr>
          <w:bottom w:val="single" w:sz="6" w:color="712D85"/>
        </w:pBdr>
      </w:pPr>
    </w:p>
    <w:p>
      <w:pPr>
        <w:spacing w:after="60" w:before="220"/>
      </w:pPr>
      <w:r>
        <w:rPr>
          <w:b/>
          <w:i w:val="0"/>
          <w:color w:val="451B4F"/>
          <w:sz w:val="27"/>
        </w:rPr>
        <w:t>What changes about the pilot</w:t>
      </w:r>
    </w:p>
    <w:p>
      <w:pPr>
        <w:pStyle w:val="ListBullet"/>
        <w:spacing w:after="50" w:line="259" w:lineRule="auto"/>
        <w:ind w:left="340"/>
      </w:pPr>
      <w:r>
        <w:rPr>
          <w:b/>
          <w:color w:val="1A1A1A"/>
          <w:sz w:val="19"/>
        </w:rPr>
        <w:t>The URL changes.</w:t>
      </w:r>
      <w:r>
        <w:rPr>
          <w:color w:val="1A1A1A"/>
          <w:sz w:val="19"/>
        </w:rPr>
        <w:t xml:space="preserve"> Any invite link already issued stops working. Re-issue from</w:t>
      </w:r>
    </w:p>
    <w:p>
      <w:pPr>
        <w:spacing w:after="100" w:line="259" w:lineRule="auto"/>
      </w:pPr>
      <w:r>
        <w:rPr>
          <w:color w:val="1A1A1A"/>
          <w:sz w:val="19"/>
        </w:rPr>
        <w:t>the register; nothing is lost because a link is just a token in a URL.</w:t>
      </w:r>
    </w:p>
    <w:p>
      <w:pPr>
        <w:pStyle w:val="ListBullet"/>
        <w:spacing w:after="50" w:line="259" w:lineRule="auto"/>
        <w:ind w:left="340"/>
      </w:pPr>
      <w:r>
        <w:rPr>
          <w:b/>
          <w:color w:val="1A1A1A"/>
          <w:sz w:val="19"/>
        </w:rPr>
        <w:t>The pen test becomes due.</w:t>
      </w:r>
      <w:r>
        <w:rPr>
          <w:color w:val="1A1A1A"/>
          <w:sz w:val="19"/>
        </w:rPr>
        <w:t xml:space="preserve"> You deferred it deliberately until the real</w:t>
      </w:r>
    </w:p>
    <w:p>
      <w:pPr>
        <w:spacing w:after="100" w:line="259" w:lineRule="auto"/>
      </w:pPr>
      <w:r>
        <w:rPr>
          <w:color w:val="1A1A1A"/>
          <w:sz w:val="19"/>
        </w:rPr>
        <w:t>environment existed. This is that environment.</w:t>
      </w:r>
    </w:p>
    <w:p>
      <w:pPr>
        <w:pStyle w:val="ListBullet"/>
        <w:spacing w:after="50" w:line="259" w:lineRule="auto"/>
        <w:ind w:left="340"/>
      </w:pPr>
      <w:r>
        <w:rPr>
          <w:b/>
          <w:color w:val="1A1A1A"/>
          <w:sz w:val="19"/>
        </w:rPr>
        <w:t>`SESSION_SECRET` regenerates</w:t>
      </w:r>
      <w:r>
        <w:rPr>
          <w:color w:val="1A1A1A"/>
          <w:sz w:val="19"/>
        </w:rPr>
        <w:t>, so everyone signs in again. Expected.</w:t>
      </w:r>
    </w:p>
    <w:p>
      <w:pPr>
        <w:pStyle w:val="ListBullet"/>
        <w:spacing w:after="50" w:line="259" w:lineRule="auto"/>
        <w:ind w:left="340"/>
      </w:pPr>
      <w:r>
        <w:rPr>
          <w:b/>
          <w:color w:val="1A1A1A"/>
          <w:sz w:val="19"/>
        </w:rPr>
        <w:t>The retention sweep starts from nothing</w:t>
      </w:r>
      <w:r>
        <w:rPr>
          <w:color w:val="1A1A1A"/>
          <w:sz w:val="19"/>
        </w:rPr>
        <w:t xml:space="preserve"> — no interview is old enough to</w:t>
      </w:r>
    </w:p>
    <w:p>
      <w:pPr>
        <w:spacing w:after="100" w:line="259" w:lineRule="auto"/>
      </w:pPr>
      <w:r>
        <w:rPr>
          <w:color w:val="1A1A1A"/>
          <w:sz w:val="19"/>
        </w:rPr>
        <w:t>expire, which is why step 9 reports zeroes.</w:t>
      </w:r>
    </w:p>
    <w:p>
      <w:pPr>
        <w:spacing w:after="120" w:before="120"/>
        <w:pBdr>
          <w:bottom w:val="single" w:sz="6" w:color="712D85"/>
        </w:pBdr>
      </w:pPr>
    </w:p>
    <w:p>
      <w:pPr>
        <w:spacing w:after="60" w:before="220"/>
      </w:pPr>
      <w:r>
        <w:rPr>
          <w:b/>
          <w:i w:val="0"/>
          <w:color w:val="451B4F"/>
          <w:sz w:val="27"/>
        </w:rPr>
        <w:t>Known benign drift</w:t>
      </w:r>
    </w:p>
    <w:p>
      <w:pPr>
        <w:spacing w:after="100" w:line="259" w:lineRule="auto"/>
      </w:pPr>
      <w:r>
        <w:rPr>
          <w:rFonts w:ascii="Consolas" w:hAnsi="Consolas"/>
          <w:color w:val="712D85"/>
          <w:sz w:val="17"/>
        </w:rPr>
        <w:t>tofu plan</w:t>
      </w:r>
      <w:r>
        <w:rPr>
          <w:color w:val="1A1A1A"/>
          <w:sz w:val="19"/>
        </w:rPr>
        <w:t xml:space="preserve"> may report one in-place change to </w:t>
      </w:r>
      <w:r>
        <w:rPr>
          <w:rFonts w:ascii="Consolas" w:hAnsi="Consolas"/>
          <w:color w:val="712D85"/>
          <w:sz w:val="17"/>
        </w:rPr>
        <w:t>google_cloud_run_v2_service</w:t>
      </w:r>
      <w:r>
        <w:rPr>
          <w:color w:val="1A1A1A"/>
          <w:sz w:val="19"/>
        </w:rPr>
        <w:t xml:space="preserve"> that</w:t>
      </w:r>
    </w:p>
    <w:p>
      <w:pPr>
        <w:spacing w:after="100" w:line="259" w:lineRule="auto"/>
      </w:pPr>
      <w:r>
        <w:rPr>
          <w:color w:val="1A1A1A"/>
          <w:sz w:val="19"/>
        </w:rPr>
        <w:t xml:space="preserve">removes an empty </w:t>
      </w:r>
      <w:r>
        <w:rPr>
          <w:rFonts w:ascii="Consolas" w:hAnsi="Consolas"/>
          <w:color w:val="712D85"/>
          <w:sz w:val="17"/>
        </w:rPr>
        <w:t>scaling</w:t>
      </w:r>
      <w:r>
        <w:rPr>
          <w:color w:val="1A1A1A"/>
          <w:sz w:val="19"/>
        </w:rPr>
        <w:t xml:space="preserve"> block with zero values. That is a provider artefact, not</w:t>
      </w:r>
    </w:p>
    <w:p>
      <w:pPr>
        <w:spacing w:after="100" w:line="259" w:lineRule="auto"/>
      </w:pPr>
      <w:r>
        <w:rPr>
          <w:color w:val="1A1A1A"/>
          <w:sz w:val="19"/>
        </w:rPr>
        <w:t>configuration — the block is not in our code. Applying it changes nothing.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