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before="0"/>
      </w:pPr>
    </w:p>
    <w:p>
      <w:pPr>
        <w:spacing w:after="40" w:before="0"/>
      </w:pPr>
      <w:r>
        <w:rPr>
          <w:b/>
          <w:i w:val="0"/>
          <w:color w:val="712D85"/>
          <w:sz w:val="72"/>
        </w:rPr>
        <w:t>Magpie</w:t>
      </w:r>
    </w:p>
    <w:p>
      <w:pPr>
        <w:spacing w:after="360" w:before="0"/>
      </w:pPr>
      <w:r>
        <w:rPr>
          <w:b w:val="0"/>
          <w:i w:val="0"/>
          <w:color w:val="451B4F"/>
          <w:sz w:val="26"/>
        </w:rPr>
        <w:t>Process capture</w:t>
      </w:r>
    </w:p>
    <w:p>
      <w:pPr>
        <w:spacing w:after="100" w:before="0"/>
      </w:pPr>
      <w:r>
        <w:rPr>
          <w:b/>
          <w:i w:val="0"/>
          <w:color w:val="1A1A1A"/>
          <w:sz w:val="38"/>
        </w:rPr>
        <w:t>Concept-to-market harvest prompt</w:t>
      </w:r>
    </w:p>
    <w:p>
      <w:pPr>
        <w:spacing w:after="280" w:before="0"/>
      </w:pPr>
      <w:r>
        <w:rPr>
          <w:b w:val="0"/>
          <w:i w:val="0"/>
          <w:color w:val="5A5A5A"/>
          <w:sz w:val="21"/>
        </w:rPr>
        <w:t>For a Claude Code project with access to C2M flows, data points and workshop transcripts</w:t>
      </w:r>
    </w:p>
    <w:p>
      <w:pPr>
        <w:spacing w:after="200" w:before="0"/>
      </w:pPr>
      <w:r>
        <w:rPr>
          <w:b w:val="0"/>
          <w:i w:val="0"/>
          <w:color w:val="1A1A1A"/>
          <w:sz w:val="20"/>
        </w:rPr>
        <w:t>This prompt produces a complete, attributed process record: the current state, the structure needed to draw it, and the evidence needed to argue a future state in which automation and agentic AI are applied. It targets the same twelve facets and forty elements as the interview engine, so a harvested record and an interviewed one are the same shape.</w:t>
      </w:r>
    </w:p>
    <w:p>
      <w:pPr>
        <w:spacing w:after="0" w:before="0"/>
      </w:pPr>
      <w:r>
        <w:rPr>
          <w:b w:val="0"/>
          <w:i/>
          <w:color w:val="5A5A5A"/>
          <w:sz w:val="18"/>
        </w:rPr>
        <w:t>The markdown source at prompts/c2m-process-harvest.md is the copy-and-paste version. This document is for reading and circulation — copying from Word can carry formatting that confuses a model.</w:t>
      </w:r>
    </w:p>
    <w:p>
      <w:r>
        <w:br w:type="page"/>
      </w:r>
    </w:p>
    <w:p>
      <w:pPr>
        <w:spacing w:after="80" w:before="120"/>
      </w:pPr>
      <w:r>
        <w:rPr>
          <w:b/>
          <w:i w:val="0"/>
          <w:color w:val="451B4F"/>
          <w:sz w:val="32"/>
        </w:rPr>
        <w:t>Prompt — harvest a full process record from concept-to-market sources</w:t>
      </w:r>
    </w:p>
    <w:p>
      <w:pPr>
        <w:spacing w:after="100" w:line="259" w:lineRule="auto"/>
      </w:pPr>
      <w:r>
        <w:rPr>
          <w:color w:val="1A1A1A"/>
          <w:sz w:val="19"/>
        </w:rPr>
        <w:t>Give this to a Claude Code project that has access to the concept-to-market (C2M)</w:t>
      </w:r>
    </w:p>
    <w:p>
      <w:pPr>
        <w:spacing w:after="100" w:line="259" w:lineRule="auto"/>
      </w:pPr>
      <w:r>
        <w:rPr>
          <w:color w:val="1A1A1A"/>
          <w:sz w:val="19"/>
        </w:rPr>
        <w:t>end-to-end delivery material: process flows, data-point catalogues, system</w:t>
      </w:r>
    </w:p>
    <w:p>
      <w:pPr>
        <w:spacing w:after="100" w:line="259" w:lineRule="auto"/>
      </w:pPr>
      <w:r>
        <w:rPr>
          <w:color w:val="1A1A1A"/>
          <w:sz w:val="19"/>
        </w:rPr>
        <w:t>inventories, and workshop transcripts.</w:t>
      </w:r>
    </w:p>
    <w:p>
      <w:pPr>
        <w:spacing w:after="100" w:line="259" w:lineRule="auto"/>
      </w:pPr>
      <w:r>
        <w:rPr>
          <w:color w:val="1A1A1A"/>
          <w:sz w:val="19"/>
        </w:rPr>
        <w:t>Its output is the input to as-is documentation, to-be re-engineering, and an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automation assessment. It is written to be </w:t>
      </w:r>
      <w:r>
        <w:rPr>
          <w:b/>
          <w:color w:val="1A1A1A"/>
          <w:sz w:val="19"/>
        </w:rPr>
        <w:t>machine-ingestible</w:t>
      </w:r>
      <w:r>
        <w:rPr>
          <w:color w:val="1A1A1A"/>
          <w:sz w:val="19"/>
        </w:rPr>
        <w:t>: the JSON blocks</w:t>
      </w:r>
    </w:p>
    <w:p>
      <w:pPr>
        <w:spacing w:after="100" w:line="259" w:lineRule="auto"/>
      </w:pPr>
      <w:r>
        <w:rPr>
          <w:color w:val="1A1A1A"/>
          <w:sz w:val="19"/>
        </w:rPr>
        <w:t>map onto a process-graph schema, so the answer can be turned into diagrams and</w:t>
      </w:r>
    </w:p>
    <w:p>
      <w:pPr>
        <w:spacing w:after="100" w:line="259" w:lineRule="auto"/>
      </w:pPr>
      <w:r>
        <w:rPr>
          <w:color w:val="1A1A1A"/>
          <w:sz w:val="19"/>
        </w:rPr>
        <w:t>specifications without a human retyping it.</w:t>
      </w:r>
    </w:p>
    <w:p>
      <w:pPr>
        <w:spacing w:after="100" w:line="259" w:lineRule="auto"/>
      </w:pPr>
      <w:r>
        <w:rPr>
          <w:color w:val="1A1A1A"/>
          <w:sz w:val="19"/>
        </w:rPr>
        <w:t>Everything below the line is the prompt. It is deliberately client-agnostic — add</w:t>
      </w:r>
    </w:p>
    <w:p>
      <w:pPr>
        <w:spacing w:after="100" w:line="259" w:lineRule="auto"/>
      </w:pPr>
      <w:r>
        <w:rPr>
          <w:color w:val="1A1A1A"/>
          <w:sz w:val="19"/>
        </w:rPr>
        <w:t>the organisation, programme and scope names in the placeholders at the top.</w:t>
      </w:r>
    </w:p>
    <w:p>
      <w:pPr>
        <w:spacing w:after="120" w:before="120"/>
        <w:pBdr>
          <w:bottom w:val="single" w:sz="6" w:color="712D85"/>
        </w:pBdr>
      </w:pPr>
    </w:p>
    <w:p>
      <w:pPr>
        <w:spacing w:after="100" w:line="259" w:lineRule="auto"/>
      </w:pPr>
      <w:r>
        <w:rPr>
          <w:color w:val="1A1A1A"/>
          <w:sz w:val="19"/>
        </w:rPr>
        <w:t>You are a process analyst working from primary sources. You have access to a</w:t>
      </w:r>
    </w:p>
    <w:p>
      <w:pPr>
        <w:spacing w:after="100" w:line="259" w:lineRule="auto"/>
      </w:pPr>
      <w:r>
        <w:rPr>
          <w:color w:val="1A1A1A"/>
          <w:sz w:val="19"/>
        </w:rPr>
        <w:t>corpus covering an end-to-end concept-to-market delivery capability: process</w:t>
      </w:r>
    </w:p>
    <w:p>
      <w:pPr>
        <w:spacing w:after="100" w:line="259" w:lineRule="auto"/>
      </w:pPr>
      <w:r>
        <w:rPr>
          <w:color w:val="1A1A1A"/>
          <w:sz w:val="19"/>
        </w:rPr>
        <w:t>flows, data-point definitions, system inventories, and transcripts of workshops</w:t>
      </w:r>
    </w:p>
    <w:p>
      <w:pPr>
        <w:spacing w:after="100" w:line="259" w:lineRule="auto"/>
      </w:pPr>
      <w:r>
        <w:rPr>
          <w:color w:val="1A1A1A"/>
          <w:sz w:val="19"/>
        </w:rPr>
        <w:t>with the people who run the work.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Your task is to produce a </w:t>
      </w:r>
      <w:r>
        <w:rPr>
          <w:b/>
          <w:color w:val="1A1A1A"/>
          <w:sz w:val="19"/>
        </w:rPr>
        <w:t>complete, attributed process record</w:t>
      </w:r>
      <w:r>
        <w:rPr>
          <w:color w:val="1A1A1A"/>
          <w:sz w:val="19"/>
        </w:rPr>
        <w:t xml:space="preserve"> for: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Organisation / programme:</w:t>
      </w:r>
      <w:r>
        <w:rPr>
          <w:color w:val="1A1A1A"/>
          <w:sz w:val="19"/>
        </w:rPr>
        <w:t xml:space="preserve"> </w:t>
      </w:r>
      <w:r>
        <w:rPr>
          <w:rFonts w:ascii="Consolas" w:hAnsi="Consolas"/>
          <w:color w:val="712D85"/>
          <w:sz w:val="17"/>
        </w:rPr>
        <w:t>&lt;FILL IN&gt;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Process in scope:</w:t>
      </w:r>
      <w:r>
        <w:rPr>
          <w:color w:val="1A1A1A"/>
          <w:sz w:val="19"/>
        </w:rPr>
        <w:t xml:space="preserve"> </w:t>
      </w:r>
      <w:r>
        <w:rPr>
          <w:rFonts w:ascii="Consolas" w:hAnsi="Consolas"/>
          <w:color w:val="712D85"/>
          <w:sz w:val="17"/>
        </w:rPr>
        <w:t>&lt;FILL IN — e.g. "Concept to market, end to end" or a named sub-process&gt;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Boundaries:</w:t>
      </w:r>
      <w:r>
        <w:rPr>
          <w:color w:val="1A1A1A"/>
          <w:sz w:val="19"/>
        </w:rPr>
        <w:t xml:space="preserve"> </w:t>
      </w:r>
      <w:r>
        <w:rPr>
          <w:rFonts w:ascii="Consolas" w:hAnsi="Consolas"/>
          <w:color w:val="712D85"/>
          <w:sz w:val="17"/>
        </w:rPr>
        <w:t>&lt;FILL IN — where it starts, where it ends, what is explicitly out&gt;</w:t>
      </w:r>
    </w:p>
    <w:p>
      <w:pPr>
        <w:spacing w:after="100" w:line="259" w:lineRule="auto"/>
      </w:pPr>
      <w:r>
        <w:rPr>
          <w:color w:val="1A1A1A"/>
          <w:sz w:val="19"/>
        </w:rPr>
        <w:t>That record will be used for three things, so it must carry enough evidence for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all three: documenting the </w:t>
      </w:r>
      <w:r>
        <w:rPr>
          <w:b/>
          <w:color w:val="1A1A1A"/>
          <w:sz w:val="19"/>
        </w:rPr>
        <w:t>current state</w:t>
      </w:r>
      <w:r>
        <w:rPr>
          <w:color w:val="1A1A1A"/>
          <w:sz w:val="19"/>
        </w:rPr>
        <w:t xml:space="preserve">, re-engineering a </w:t>
      </w:r>
      <w:r>
        <w:rPr>
          <w:b/>
          <w:color w:val="1A1A1A"/>
          <w:sz w:val="19"/>
        </w:rPr>
        <w:t>future state</w:t>
      </w:r>
    </w:p>
    <w:p>
      <w:pPr>
        <w:spacing w:after="100" w:line="259" w:lineRule="auto"/>
      </w:pPr>
      <w:r>
        <w:rPr>
          <w:color w:val="1A1A1A"/>
          <w:sz w:val="19"/>
        </w:rPr>
        <w:t>in which automation and agentic AI are fully applied, and **justifying each</w:t>
      </w:r>
    </w:p>
    <w:p>
      <w:pPr>
        <w:spacing w:after="100" w:line="259" w:lineRule="auto"/>
      </w:pPr>
      <w:r>
        <w:rPr>
          <w:color w:val="1A1A1A"/>
          <w:sz w:val="19"/>
        </w:rPr>
        <w:t>automation decision** against evidence a reviewer can check.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How to work</w:t>
      </w:r>
    </w:p>
    <w:p>
      <w:pPr>
        <w:spacing w:after="100" w:line="259" w:lineRule="auto"/>
      </w:pPr>
      <w:r>
        <w:rPr>
          <w:color w:val="1A1A1A"/>
          <w:sz w:val="19"/>
        </w:rPr>
        <w:t>Search the corpus exhaustively before writing anything. Prefer transcripts over</w:t>
      </w:r>
    </w:p>
    <w:p>
      <w:pPr>
        <w:spacing w:after="100" w:line="259" w:lineRule="auto"/>
      </w:pPr>
      <w:r>
        <w:rPr>
          <w:color w:val="1A1A1A"/>
          <w:sz w:val="19"/>
        </w:rPr>
        <w:t>diagrams where they disagree — a diagram records what was designed, a transcript</w:t>
      </w:r>
    </w:p>
    <w:p>
      <w:pPr>
        <w:spacing w:after="100" w:line="259" w:lineRule="auto"/>
      </w:pPr>
      <w:r>
        <w:rPr>
          <w:color w:val="1A1A1A"/>
          <w:sz w:val="19"/>
        </w:rPr>
        <w:t>records what people actually do, and the gap between them is itself a finding.</w:t>
      </w:r>
    </w:p>
    <w:p>
      <w:pPr>
        <w:spacing w:after="100" w:line="259" w:lineRule="auto"/>
      </w:pPr>
      <w:r>
        <w:rPr>
          <w:color w:val="1A1A1A"/>
          <w:sz w:val="19"/>
        </w:rPr>
        <w:t>Read whole documents, not extracts, where the document is short enough to matter.</w:t>
      </w:r>
    </w:p>
    <w:p>
      <w:pPr>
        <w:spacing w:after="100" w:line="259" w:lineRule="auto"/>
      </w:pPr>
      <w:r>
        <w:rPr>
          <w:color w:val="1A1A1A"/>
          <w:sz w:val="19"/>
        </w:rPr>
        <w:t>Do not stop at the first source that answers a question. For each element below,</w:t>
      </w:r>
    </w:p>
    <w:p>
      <w:pPr>
        <w:spacing w:after="100" w:line="259" w:lineRule="auto"/>
      </w:pPr>
      <w:r>
        <w:rPr>
          <w:color w:val="1A1A1A"/>
          <w:sz w:val="19"/>
        </w:rPr>
        <w:t>look for corroboration and for contradiction.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Non-negotiable rules</w:t>
      </w:r>
    </w:p>
    <w:p>
      <w:pPr>
        <w:spacing w:after="100" w:line="259" w:lineRule="auto"/>
      </w:pPr>
      <w:r>
        <w:rPr>
          <w:color w:val="1A1A1A"/>
          <w:sz w:val="19"/>
        </w:rPr>
        <w:t>These are the difference between a usable record and a plausible one. Violating</w:t>
      </w:r>
    </w:p>
    <w:p>
      <w:pPr>
        <w:spacing w:after="100" w:line="259" w:lineRule="auto"/>
      </w:pPr>
      <w:r>
        <w:rPr>
          <w:color w:val="1A1A1A"/>
          <w:sz w:val="19"/>
        </w:rPr>
        <w:t>any of them makes the output unusable downstream.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Attribute everything. Average nothing.</w:t>
      </w:r>
      <w:r>
        <w:rPr>
          <w:color w:val="1A1A1A"/>
          <w:sz w:val="19"/>
        </w:rPr>
        <w:t xml:space="preserve"> Every statement carries its source:</w:t>
      </w:r>
    </w:p>
    <w:p>
      <w:pPr>
        <w:spacing w:after="100" w:line="259" w:lineRule="auto"/>
      </w:pPr>
      <w:r>
        <w:rPr>
          <w:color w:val="1A1A1A"/>
          <w:sz w:val="19"/>
        </w:rPr>
        <w:t>document name or transcript, and the speaker and their role where known. Where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two sources disagree, record </w:t>
      </w:r>
      <w:r>
        <w:rPr>
          <w:b/>
          <w:color w:val="1A1A1A"/>
          <w:sz w:val="19"/>
        </w:rPr>
        <w:t>both</w:t>
      </w:r>
      <w:r>
        <w:rPr>
          <w:color w:val="1A1A1A"/>
          <w:sz w:val="19"/>
        </w:rPr>
        <w:t xml:space="preserve"> as separate statements and raise a</w:t>
      </w:r>
    </w:p>
    <w:p>
      <w:pPr>
        <w:spacing w:after="100" w:line="259" w:lineRule="auto"/>
      </w:pPr>
      <w:r>
        <w:rPr>
          <w:color w:val="1A1A1A"/>
          <w:sz w:val="19"/>
        </w:rPr>
        <w:t>conflict. Never merge them into a consensus, never split the difference, never</w:t>
      </w:r>
    </w:p>
    <w:p>
      <w:pPr>
        <w:spacing w:after="100" w:line="259" w:lineRule="auto"/>
      </w:pPr>
      <w:r>
        <w:rPr>
          <w:color w:val="1A1A1A"/>
          <w:sz w:val="19"/>
        </w:rPr>
        <w:t>pick the one that sounds more authoritative.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No silent gaps.</w:t>
      </w:r>
      <w:r>
        <w:rPr>
          <w:color w:val="1A1A1A"/>
          <w:sz w:val="19"/>
        </w:rPr>
        <w:t xml:space="preserve"> Every element listed below ends in exactly one state:</w:t>
      </w:r>
    </w:p>
    <w:p>
      <w:pPr>
        <w:spacing w:after="100" w:line="259" w:lineRule="auto"/>
      </w:pPr>
      <w:r>
        <w:rPr>
          <w:rFonts w:ascii="Consolas" w:hAnsi="Consolas"/>
          <w:color w:val="712D85"/>
          <w:sz w:val="17"/>
        </w:rPr>
        <w:t>answered</w:t>
      </w:r>
      <w:r>
        <w:rPr>
          <w:color w:val="1A1A1A"/>
          <w:sz w:val="19"/>
        </w:rPr>
        <w:t xml:space="preserve">, </w:t>
      </w:r>
      <w:r>
        <w:rPr>
          <w:rFonts w:ascii="Consolas" w:hAnsi="Consolas"/>
          <w:color w:val="712D85"/>
          <w:sz w:val="17"/>
        </w:rPr>
        <w:t>unknown</w:t>
      </w:r>
      <w:r>
        <w:rPr>
          <w:color w:val="1A1A1A"/>
          <w:sz w:val="19"/>
        </w:rPr>
        <w:t xml:space="preserve"> (the corpus does not say), or </w:t>
      </w:r>
      <w:r>
        <w:rPr>
          <w:rFonts w:ascii="Consolas" w:hAnsi="Consolas"/>
          <w:color w:val="712D85"/>
          <w:sz w:val="17"/>
        </w:rPr>
        <w:t>not_applicable</w:t>
      </w:r>
      <w:r>
        <w:rPr>
          <w:color w:val="1A1A1A"/>
          <w:sz w:val="19"/>
        </w:rPr>
        <w:t xml:space="preserve"> (it does</w:t>
      </w:r>
    </w:p>
    <w:p>
      <w:pPr>
        <w:spacing w:after="100" w:line="259" w:lineRule="auto"/>
      </w:pPr>
      <w:r>
        <w:rPr>
          <w:color w:val="1A1A1A"/>
          <w:sz w:val="19"/>
        </w:rPr>
        <w:t>not apply, and you can say why). An element you did not investigate is not</w:t>
      </w:r>
    </w:p>
    <w:p>
      <w:pPr>
        <w:spacing w:after="100" w:line="259" w:lineRule="auto"/>
      </w:pPr>
      <w:r>
        <w:rPr>
          <w:rFonts w:ascii="Consolas" w:hAnsi="Consolas"/>
          <w:color w:val="712D85"/>
          <w:sz w:val="17"/>
        </w:rPr>
        <w:t>not_applicable</w:t>
      </w:r>
      <w:r>
        <w:rPr>
          <w:color w:val="1A1A1A"/>
          <w:sz w:val="19"/>
        </w:rPr>
        <w:t xml:space="preserve"> — it is </w:t>
      </w:r>
      <w:r>
        <w:rPr>
          <w:rFonts w:ascii="Consolas" w:hAnsi="Consolas"/>
          <w:color w:val="712D85"/>
          <w:sz w:val="17"/>
        </w:rPr>
        <w:t>unknown</w:t>
      </w:r>
      <w:r>
        <w:rPr>
          <w:color w:val="1A1A1A"/>
          <w:sz w:val="19"/>
        </w:rPr>
        <w:t>. A record that quietly omits what it could</w:t>
      </w:r>
    </w:p>
    <w:p>
      <w:pPr>
        <w:spacing w:after="100" w:line="259" w:lineRule="auto"/>
      </w:pPr>
      <w:r>
        <w:rPr>
          <w:color w:val="1A1A1A"/>
          <w:sz w:val="19"/>
        </w:rPr>
        <w:t>not find is worse than one that names the hole.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No claim without a citation.</w:t>
      </w:r>
      <w:r>
        <w:rPr>
          <w:color w:val="1A1A1A"/>
          <w:sz w:val="19"/>
        </w:rPr>
        <w:t xml:space="preserve"> Every statement points at the source that</w:t>
      </w:r>
    </w:p>
    <w:p>
      <w:pPr>
        <w:spacing w:after="100" w:line="259" w:lineRule="auto"/>
      </w:pPr>
      <w:r>
        <w:rPr>
          <w:color w:val="1A1A1A"/>
          <w:sz w:val="19"/>
        </w:rPr>
        <w:t>supports it. If you are inferring rather than reporting, say so explicitly and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mark it </w:t>
      </w:r>
      <w:r>
        <w:rPr>
          <w:rFonts w:ascii="Consolas" w:hAnsi="Consolas"/>
          <w:color w:val="712D85"/>
          <w:sz w:val="17"/>
        </w:rPr>
        <w:t>inferred</w:t>
      </w:r>
      <w:r>
        <w:rPr>
          <w:color w:val="1A1A1A"/>
          <w:sz w:val="19"/>
        </w:rPr>
        <w:t>. An inference presented as a finding is a defect.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Complete every ladder.</w:t>
      </w:r>
      <w:r>
        <w:rPr>
          <w:color w:val="1A1A1A"/>
          <w:sz w:val="19"/>
        </w:rPr>
        <w:t xml:space="preserve"> Where a threshold, tier, approval level or band is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mentioned, capture </w:t>
      </w:r>
      <w:r>
        <w:rPr>
          <w:b/>
          <w:color w:val="1A1A1A"/>
          <w:sz w:val="19"/>
        </w:rPr>
        <w:t>every rung</w:t>
      </w:r>
      <w:r>
        <w:rPr>
          <w:color w:val="1A1A1A"/>
          <w:sz w:val="19"/>
        </w:rPr>
        <w:t>, not the first. "Under £5k the manager signs</w:t>
      </w:r>
    </w:p>
    <w:p>
      <w:pPr>
        <w:spacing w:after="100" w:line="259" w:lineRule="auto"/>
      </w:pPr>
      <w:r>
        <w:rPr>
          <w:color w:val="1A1A1A"/>
          <w:sz w:val="19"/>
        </w:rPr>
        <w:t>it off, above that it escalates" is incomplete until you have who signs at each</w:t>
      </w:r>
    </w:p>
    <w:p>
      <w:pPr>
        <w:spacing w:after="100" w:line="259" w:lineRule="auto"/>
      </w:pPr>
      <w:r>
        <w:rPr>
          <w:color w:val="1A1A1A"/>
          <w:sz w:val="19"/>
        </w:rPr>
        <w:t>level all the way to the top, or an explicit statement that the corpus does not</w:t>
      </w:r>
    </w:p>
    <w:p>
      <w:pPr>
        <w:spacing w:after="100" w:line="259" w:lineRule="auto"/>
      </w:pPr>
      <w:r>
        <w:rPr>
          <w:color w:val="1A1A1A"/>
          <w:sz w:val="19"/>
        </w:rPr>
        <w:t>say. The same applies to severity tiers, priority bands, and stage gates.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Quote verbatim where the wording carries meaning.</w:t>
      </w:r>
      <w:r>
        <w:rPr>
          <w:color w:val="1A1A1A"/>
          <w:sz w:val="19"/>
        </w:rPr>
        <w:t xml:space="preserve"> Rules, thresholds,</w:t>
      </w:r>
    </w:p>
    <w:p>
      <w:pPr>
        <w:spacing w:after="100" w:line="259" w:lineRule="auto"/>
      </w:pPr>
      <w:r>
        <w:rPr>
          <w:color w:val="1A1A1A"/>
          <w:sz w:val="19"/>
        </w:rPr>
        <w:t>obligations and complaints about the process should be quoted, not paraphrased.</w:t>
      </w:r>
    </w:p>
    <w:p>
      <w:pPr>
        <w:spacing w:after="100" w:line="259" w:lineRule="auto"/>
      </w:pPr>
      <w:r>
        <w:rPr>
          <w:color w:val="1A1A1A"/>
          <w:sz w:val="19"/>
        </w:rPr>
        <w:t>Paraphrase loses the hedge, and the hedge is often the point.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Distinguish the designed process from the practised one.</w:t>
      </w:r>
      <w:r>
        <w:rPr>
          <w:color w:val="1A1A1A"/>
          <w:sz w:val="19"/>
        </w:rPr>
        <w:t xml:space="preserve"> Where a transcript</w:t>
      </w:r>
    </w:p>
    <w:p>
      <w:pPr>
        <w:spacing w:after="100" w:line="259" w:lineRule="auto"/>
      </w:pPr>
      <w:r>
        <w:rPr>
          <w:color w:val="1A1A1A"/>
          <w:sz w:val="19"/>
        </w:rPr>
        <w:t>describes a workaround, a shadow spreadsheet, or "what we actually do", record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it as such and mark it </w:t>
      </w:r>
      <w:r>
        <w:rPr>
          <w:rFonts w:ascii="Consolas" w:hAnsi="Consolas"/>
          <w:color w:val="712D85"/>
          <w:sz w:val="17"/>
        </w:rPr>
        <w:t>practised</w:t>
      </w:r>
      <w:r>
        <w:rPr>
          <w:color w:val="1A1A1A"/>
          <w:sz w:val="19"/>
        </w:rPr>
        <w:t>. Mark documented-but-unconfirmed steps</w:t>
      </w:r>
    </w:p>
    <w:p>
      <w:pPr>
        <w:spacing w:after="100" w:line="259" w:lineRule="auto"/>
      </w:pPr>
      <w:r>
        <w:rPr>
          <w:rFonts w:ascii="Consolas" w:hAnsi="Consolas"/>
          <w:color w:val="712D85"/>
          <w:sz w:val="17"/>
        </w:rPr>
        <w:t>designed</w:t>
      </w:r>
      <w:r>
        <w:rPr>
          <w:color w:val="1A1A1A"/>
          <w:sz w:val="19"/>
        </w:rPr>
        <w:t>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Part A — the twelve facets</w:t>
      </w:r>
    </w:p>
    <w:p>
      <w:pPr>
        <w:spacing w:after="100" w:line="259" w:lineRule="auto"/>
      </w:pPr>
      <w:r>
        <w:rPr>
          <w:color w:val="1A1A1A"/>
          <w:sz w:val="19"/>
        </w:rPr>
        <w:t>Cover every element. For each, give: the state (</w:t>
      </w:r>
      <w:r>
        <w:rPr>
          <w:rFonts w:ascii="Consolas" w:hAnsi="Consolas"/>
          <w:color w:val="712D85"/>
          <w:sz w:val="17"/>
        </w:rPr>
        <w:t>answered</w:t>
      </w:r>
      <w:r>
        <w:rPr>
          <w:color w:val="1A1A1A"/>
          <w:sz w:val="19"/>
        </w:rPr>
        <w:t xml:space="preserve"> / </w:t>
      </w:r>
      <w:r>
        <w:rPr>
          <w:rFonts w:ascii="Consolas" w:hAnsi="Consolas"/>
          <w:color w:val="712D85"/>
          <w:sz w:val="17"/>
        </w:rPr>
        <w:t>unknown</w:t>
      </w:r>
      <w:r>
        <w:rPr>
          <w:color w:val="1A1A1A"/>
          <w:sz w:val="19"/>
        </w:rPr>
        <w:t xml:space="preserve"> /</w:t>
      </w:r>
    </w:p>
    <w:p>
      <w:pPr>
        <w:spacing w:after="100" w:line="259" w:lineRule="auto"/>
      </w:pPr>
      <w:r>
        <w:rPr>
          <w:rFonts w:ascii="Consolas" w:hAnsi="Consolas"/>
          <w:color w:val="712D85"/>
          <w:sz w:val="17"/>
        </w:rPr>
        <w:t>not_applicable</w:t>
      </w:r>
      <w:r>
        <w:rPr>
          <w:color w:val="1A1A1A"/>
          <w:sz w:val="19"/>
        </w:rPr>
        <w:t>), the statements with their sources, and — where the element is</w:t>
      </w:r>
    </w:p>
    <w:p>
      <w:pPr>
        <w:spacing w:after="100" w:line="259" w:lineRule="auto"/>
      </w:pPr>
      <w:r>
        <w:rPr>
          <w:color w:val="1A1A1A"/>
          <w:sz w:val="19"/>
        </w:rPr>
        <w:t>unknown — what would have to be found to close it.</w:t>
      </w:r>
    </w:p>
    <w:p>
      <w:pPr>
        <w:spacing w:after="100" w:line="259" w:lineRule="auto"/>
      </w:pPr>
      <w:r>
        <w:rPr>
          <w:b/>
          <w:color w:val="1A1A1A"/>
          <w:sz w:val="19"/>
        </w:rPr>
        <w:t>F1 · Process identity and context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identity.purpose</w:t>
      </w:r>
      <w:r>
        <w:rPr>
          <w:color w:val="1A1A1A"/>
          <w:sz w:val="19"/>
        </w:rPr>
        <w:t xml:space="preserve"> — what the process achieves and why it exists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identity.start</w:t>
      </w:r>
      <w:r>
        <w:rPr>
          <w:color w:val="1A1A1A"/>
          <w:sz w:val="19"/>
        </w:rPr>
        <w:t xml:space="preserve"> — the first thing that happens, or the condition that opens it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identity.end</w:t>
      </w:r>
      <w:r>
        <w:rPr>
          <w:color w:val="1A1A1A"/>
          <w:sz w:val="19"/>
        </w:rPr>
        <w:t xml:space="preserve"> — the last thing that happens, or the condition that closes it</w:t>
      </w:r>
    </w:p>
    <w:p>
      <w:pPr>
        <w:spacing w:after="100" w:line="259" w:lineRule="auto"/>
      </w:pPr>
      <w:r>
        <w:rPr>
          <w:b/>
          <w:color w:val="1A1A1A"/>
          <w:sz w:val="19"/>
        </w:rPr>
        <w:t>F2 · Stakeholders and resources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stakeholders.roles</w:t>
      </w:r>
      <w:r>
        <w:rPr>
          <w:color w:val="1A1A1A"/>
          <w:sz w:val="19"/>
        </w:rPr>
        <w:t xml:space="preserve"> — the roles on the main flow, named as roles, not individuals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stakeholders.responsibilities</w:t>
      </w:r>
      <w:r>
        <w:rPr>
          <w:color w:val="1A1A1A"/>
          <w:sz w:val="19"/>
        </w:rPr>
        <w:t xml:space="preserve"> — each role tied to what it is responsible for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stakeholders.handoffs</w:t>
      </w:r>
      <w:r>
        <w:rPr>
          <w:color w:val="1A1A1A"/>
          <w:sz w:val="19"/>
        </w:rPr>
        <w:t xml:space="preserve"> — upstream and downstream hand-off partners</w:t>
      </w:r>
    </w:p>
    <w:p>
      <w:pPr>
        <w:spacing w:after="100" w:line="259" w:lineRule="auto"/>
      </w:pPr>
      <w:r>
        <w:rPr>
          <w:b/>
          <w:color w:val="1A1A1A"/>
          <w:sz w:val="19"/>
        </w:rPr>
        <w:t>F3 · Triggers and events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triggers.initiating</w:t>
      </w:r>
      <w:r>
        <w:rPr>
          <w:color w:val="1A1A1A"/>
          <w:sz w:val="19"/>
        </w:rPr>
        <w:t xml:space="preserve"> — what sets the process off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triggers.channels</w:t>
      </w:r>
      <w:r>
        <w:rPr>
          <w:color w:val="1A1A1A"/>
          <w:sz w:val="19"/>
        </w:rPr>
        <w:t xml:space="preserve"> — the route or channel a trigger arrives by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triggers.timing</w:t>
      </w:r>
      <w:r>
        <w:rPr>
          <w:color w:val="1A1A1A"/>
          <w:sz w:val="19"/>
        </w:rPr>
        <w:t xml:space="preserve"> — frequency, cadence, seasonality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triggers.secondary</w:t>
      </w:r>
      <w:r>
        <w:rPr>
          <w:color w:val="1A1A1A"/>
          <w:sz w:val="19"/>
        </w:rPr>
        <w:t xml:space="preserve"> — escalation or alternative triggers</w:t>
      </w:r>
    </w:p>
    <w:p>
      <w:pPr>
        <w:spacing w:after="100" w:line="259" w:lineRule="auto"/>
      </w:pPr>
      <w:r>
        <w:rPr>
          <w:b/>
          <w:color w:val="1A1A1A"/>
          <w:sz w:val="19"/>
        </w:rPr>
        <w:t>F4 · Inputs and outputs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io.inputs</w:t>
      </w:r>
      <w:r>
        <w:rPr>
          <w:color w:val="1A1A1A"/>
          <w:sz w:val="19"/>
        </w:rPr>
        <w:t xml:space="preserve"> — what is needed to start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io.sources</w:t>
      </w:r>
      <w:r>
        <w:rPr>
          <w:color w:val="1A1A1A"/>
          <w:sz w:val="19"/>
        </w:rPr>
        <w:t xml:space="preserve"> — where those inputs come from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io.outputs</w:t>
      </w:r>
      <w:r>
        <w:rPr>
          <w:color w:val="1A1A1A"/>
          <w:sz w:val="19"/>
        </w:rPr>
        <w:t xml:space="preserve"> — what exists at the end that did not before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io.destinations</w:t>
      </w:r>
      <w:r>
        <w:rPr>
          <w:color w:val="1A1A1A"/>
          <w:sz w:val="19"/>
        </w:rPr>
        <w:t xml:space="preserve"> — who or what consumes the outputs</w:t>
      </w:r>
    </w:p>
    <w:p>
      <w:pPr>
        <w:spacing w:after="100" w:line="259" w:lineRule="auto"/>
      </w:pPr>
      <w:r>
        <w:rPr>
          <w:b/>
          <w:color w:val="1A1A1A"/>
          <w:sz w:val="19"/>
        </w:rPr>
        <w:t>F5 · Workflow and activities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workflow.steps</w:t>
      </w:r>
      <w:r>
        <w:rPr>
          <w:color w:val="1A1A1A"/>
          <w:sz w:val="19"/>
        </w:rPr>
        <w:t xml:space="preserve"> — an ordered account of the main path, start to finish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workflow.actors</w:t>
      </w:r>
      <w:r>
        <w:rPr>
          <w:color w:val="1A1A1A"/>
          <w:sz w:val="19"/>
        </w:rPr>
        <w:t xml:space="preserve"> — each step attributed to a role and, where relevant, a system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workflow.decisions</w:t>
      </w:r>
      <w:r>
        <w:rPr>
          <w:color w:val="1A1A1A"/>
          <w:sz w:val="19"/>
        </w:rPr>
        <w:t xml:space="preserve"> — every point where the path forks, and on what criterion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workflow.handoffs</w:t>
      </w:r>
      <w:r>
        <w:rPr>
          <w:color w:val="1A1A1A"/>
          <w:sz w:val="19"/>
        </w:rPr>
        <w:t xml:space="preserve"> — every point where work changes hands</w:t>
      </w:r>
    </w:p>
    <w:p>
      <w:pPr>
        <w:spacing w:after="100" w:line="259" w:lineRule="auto"/>
      </w:pPr>
      <w:r>
        <w:rPr>
          <w:b/>
          <w:color w:val="1A1A1A"/>
          <w:sz w:val="19"/>
        </w:rPr>
        <w:t>F6 · Business rules and decisions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rules.governing</w:t>
      </w:r>
      <w:r>
        <w:rPr>
          <w:color w:val="1A1A1A"/>
          <w:sz w:val="19"/>
        </w:rPr>
        <w:t xml:space="preserve"> — the rules and criteria governing the main decisions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rules.thresholds</w:t>
      </w:r>
      <w:r>
        <w:rPr>
          <w:color w:val="1A1A1A"/>
          <w:sz w:val="19"/>
        </w:rPr>
        <w:t xml:space="preserve"> — every band, limit and figure, as numbers (see rule 4)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rules.approvals</w:t>
      </w:r>
      <w:r>
        <w:rPr>
          <w:color w:val="1A1A1A"/>
          <w:sz w:val="19"/>
        </w:rPr>
        <w:t xml:space="preserve"> — every approval tier tied to the role that holds it</w:t>
      </w:r>
    </w:p>
    <w:p>
      <w:pPr>
        <w:spacing w:after="100" w:line="259" w:lineRule="auto"/>
      </w:pPr>
      <w:r>
        <w:rPr>
          <w:b/>
          <w:color w:val="1A1A1A"/>
          <w:sz w:val="19"/>
        </w:rPr>
        <w:t>F7 · Data and information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data.records</w:t>
      </w:r>
      <w:r>
        <w:rPr>
          <w:color w:val="1A1A1A"/>
          <w:sz w:val="19"/>
        </w:rPr>
        <w:t xml:space="preserve"> — the key records created or updated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data.location</w:t>
      </w:r>
      <w:r>
        <w:rPr>
          <w:color w:val="1A1A1A"/>
          <w:sz w:val="19"/>
        </w:rPr>
        <w:t xml:space="preserve"> — the system or place that holds each record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data.shadow</w:t>
      </w:r>
      <w:r>
        <w:rPr>
          <w:color w:val="1A1A1A"/>
          <w:sz w:val="19"/>
        </w:rPr>
        <w:t xml:space="preserve"> — spreadsheets, shared inboxes, local files outside the main systems</w:t>
      </w:r>
    </w:p>
    <w:p>
      <w:pPr>
        <w:spacing w:after="100" w:line="259" w:lineRule="auto"/>
      </w:pPr>
      <w:r>
        <w:rPr>
          <w:b/>
          <w:color w:val="1A1A1A"/>
          <w:sz w:val="19"/>
        </w:rPr>
        <w:t>F8 · Technology and systems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systems.named</w:t>
      </w:r>
      <w:r>
        <w:rPr>
          <w:color w:val="1A1A1A"/>
          <w:sz w:val="19"/>
        </w:rPr>
        <w:t xml:space="preserve"> — every system and tool on the main path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systems.integration</w:t>
      </w:r>
      <w:r>
        <w:rPr>
          <w:color w:val="1A1A1A"/>
          <w:sz w:val="19"/>
        </w:rPr>
        <w:t xml:space="preserve"> — which systems are integrated, and where people rekey between them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systems.manual</w:t>
      </w:r>
      <w:r>
        <w:rPr>
          <w:color w:val="1A1A1A"/>
          <w:sz w:val="19"/>
        </w:rPr>
        <w:t xml:space="preserve"> — email, phone, paper, meetings and other manual channels</w:t>
      </w:r>
    </w:p>
    <w:p>
      <w:pPr>
        <w:spacing w:after="100" w:line="259" w:lineRule="auto"/>
      </w:pPr>
      <w:r>
        <w:rPr>
          <w:b/>
          <w:color w:val="1A1A1A"/>
          <w:sz w:val="19"/>
        </w:rPr>
        <w:t>F9 · Risk, controls and compliance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risk.controls</w:t>
      </w:r>
      <w:r>
        <w:rPr>
          <w:color w:val="1A1A1A"/>
          <w:sz w:val="19"/>
        </w:rPr>
        <w:t xml:space="preserve"> — checks, sign-offs and quality controls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risk.obligations</w:t>
      </w:r>
      <w:r>
        <w:rPr>
          <w:color w:val="1A1A1A"/>
          <w:sz w:val="19"/>
        </w:rPr>
        <w:t xml:space="preserve"> — regulatory or formal policy obligations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risk.failure</w:t>
      </w:r>
      <w:r>
        <w:rPr>
          <w:color w:val="1A1A1A"/>
          <w:sz w:val="19"/>
        </w:rPr>
        <w:t xml:space="preserve"> — what counts as an error, and how it is caught</w:t>
      </w:r>
    </w:p>
    <w:p>
      <w:pPr>
        <w:spacing w:after="100" w:line="259" w:lineRule="auto"/>
      </w:pPr>
      <w:r>
        <w:rPr>
          <w:b/>
          <w:color w:val="1A1A1A"/>
          <w:sz w:val="19"/>
        </w:rPr>
        <w:t>F10 · Variants and exceptions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exceptions.variants</w:t>
      </w:r>
      <w:r>
        <w:rPr>
          <w:color w:val="1A1A1A"/>
          <w:sz w:val="19"/>
        </w:rPr>
        <w:t xml:space="preserve"> — cases that follow a different path, and what distinguishes them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exceptions.failure</w:t>
      </w:r>
      <w:r>
        <w:rPr>
          <w:color w:val="1A1A1A"/>
          <w:sz w:val="19"/>
        </w:rPr>
        <w:t xml:space="preserve"> — what happens on failure or interruption mid-process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exceptions.hardest</w:t>
      </w:r>
      <w:r>
        <w:rPr>
          <w:color w:val="1A1A1A"/>
          <w:sz w:val="19"/>
        </w:rPr>
        <w:t xml:space="preserve"> — the hardest case type and how it differs</w:t>
      </w:r>
    </w:p>
    <w:p>
      <w:pPr>
        <w:spacing w:after="100" w:line="259" w:lineRule="auto"/>
      </w:pPr>
      <w:r>
        <w:rPr>
          <w:b/>
          <w:color w:val="1A1A1A"/>
          <w:sz w:val="19"/>
        </w:rPr>
        <w:t>F11 · Performance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performance.volume</w:t>
      </w:r>
      <w:r>
        <w:rPr>
          <w:color w:val="1A1A1A"/>
          <w:sz w:val="19"/>
        </w:rPr>
        <w:t xml:space="preserve"> — volume over a period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performance.duration</w:t>
      </w:r>
      <w:r>
        <w:rPr>
          <w:color w:val="1A1A1A"/>
          <w:sz w:val="19"/>
        </w:rPr>
        <w:t xml:space="preserve"> — end-to-end duration, as a range if that is all there is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performance.target</w:t>
      </w:r>
      <w:r>
        <w:rPr>
          <w:color w:val="1A1A1A"/>
          <w:sz w:val="19"/>
        </w:rPr>
        <w:t xml:space="preserve"> — the target, SLA or stage-gate commitment</w:t>
      </w:r>
    </w:p>
    <w:p>
      <w:pPr>
        <w:spacing w:after="100" w:line="259" w:lineRule="auto"/>
      </w:pPr>
      <w:r>
        <w:rPr>
          <w:b/>
          <w:color w:val="1A1A1A"/>
          <w:sz w:val="19"/>
        </w:rPr>
        <w:t>F12 · Bottlenecks and issues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bottlenecks.longest</w:t>
      </w:r>
      <w:r>
        <w:rPr>
          <w:color w:val="1A1A1A"/>
          <w:sz w:val="19"/>
        </w:rPr>
        <w:t xml:space="preserve"> — the slowest stage or longest task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bottlenecks.queues</w:t>
      </w:r>
      <w:r>
        <w:rPr>
          <w:color w:val="1A1A1A"/>
          <w:sz w:val="19"/>
        </w:rPr>
        <w:t xml:space="preserve"> — where work waits, and what it waits for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bottlenecks.workarounds</w:t>
      </w:r>
      <w:r>
        <w:rPr>
          <w:color w:val="1A1A1A"/>
          <w:sz w:val="19"/>
        </w:rPr>
        <w:t xml:space="preserve"> — the workarounds people actually use</w:t>
      </w:r>
    </w:p>
    <w:p>
      <w:pPr>
        <w:pStyle w:val="ListBullet"/>
        <w:spacing w:after="50" w:line="259" w:lineRule="auto"/>
        <w:ind w:left="340"/>
      </w:pPr>
      <w:r>
        <w:rPr>
          <w:rFonts w:ascii="Consolas" w:hAnsi="Consolas"/>
          <w:color w:val="712D85"/>
          <w:sz w:val="17"/>
        </w:rPr>
        <w:t>bottlenecks.standardisation</w:t>
      </w:r>
      <w:r>
        <w:rPr>
          <w:color w:val="1A1A1A"/>
          <w:sz w:val="19"/>
        </w:rPr>
        <w:t xml:space="preserve"> — how consistently the work is done across people and teams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Part B — the process structure</w:t>
      </w:r>
    </w:p>
    <w:p>
      <w:pPr>
        <w:spacing w:after="100" w:line="259" w:lineRule="auto"/>
      </w:pPr>
      <w:r>
        <w:rPr>
          <w:color w:val="1A1A1A"/>
          <w:sz w:val="19"/>
        </w:rPr>
        <w:t>Emit a JSON block that describes the process as a graph. Every element carries</w:t>
      </w:r>
    </w:p>
    <w:p>
      <w:pPr>
        <w:spacing w:after="100" w:line="259" w:lineRule="auto"/>
      </w:pPr>
      <w:r>
        <w:rPr>
          <w:rFonts w:ascii="Consolas" w:hAnsi="Consolas"/>
          <w:color w:val="712D85"/>
          <w:sz w:val="17"/>
        </w:rPr>
        <w:t>sourceFacet</w:t>
      </w:r>
      <w:r>
        <w:rPr>
          <w:color w:val="1A1A1A"/>
          <w:sz w:val="19"/>
        </w:rPr>
        <w:t xml:space="preserve"> — the facet number the evidence came from — so any node can be</w:t>
      </w:r>
    </w:p>
    <w:p>
      <w:pPr>
        <w:spacing w:after="100" w:line="259" w:lineRule="auto"/>
      </w:pPr>
      <w:r>
        <w:rPr>
          <w:color w:val="1A1A1A"/>
          <w:sz w:val="19"/>
        </w:rPr>
        <w:t>traced back to a statement. Where the corpus does not support a node, do not</w:t>
      </w:r>
    </w:p>
    <w:p>
      <w:pPr>
        <w:spacing w:after="100" w:line="259" w:lineRule="auto"/>
      </w:pPr>
      <w:r>
        <w:rPr>
          <w:color w:val="1A1A1A"/>
          <w:sz w:val="19"/>
        </w:rPr>
        <w:t>invent one to make the diagram tidy.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fill="F5F2F7"/>
          </w:tcPr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"processId": "kebab-case-id",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"name": "Process name",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"lanes":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 "id": "lane:&lt;role&gt;", "name": "Role or team", "sourceFacet": 2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"events":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 "id": "ev:start", "type": "start", "name": "What opens it", "laneId": "lane:x", "sourceFacet": 3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 "id": "ev:end", "type": "end", "name": "What closes it", "laneId": "lane:x", "sourceFacet": 1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"activities":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"id": "act:&lt;verb-noun&gt;",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"name": "Do the thing",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"laneId": "lane:x",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"systems": ["System A", "System B"],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"sourceFacet": 5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"gateways":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"id": "gw:&lt;decision&gt;",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"type": "exclusive",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"name": "The question being asked",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"condition": "The criterion, quoted where possible",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"laneId": "lane:x",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"sourceFacet": 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"flows":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 "id": "f1", "from": "ev:start", "to": "act:first", "condition": "optional label"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"annotations":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"id": "ann:1",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"targetId": "act:something",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"kind": "bottleneck",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"text": "What is wrong here, in the informant's terms",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  "evidence": { "facet": 12, "quote": "verbatim", "source": "workshop-3, Ops Lead"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 xml:space="preserve">  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331C3B"/>
                <w:sz w:val="16"/>
              </w:rPr>
              <w:t>}</w:t>
            </w:r>
          </w:p>
        </w:tc>
      </w:tr>
    </w:tbl>
    <w:p>
      <w:pPr>
        <w:spacing w:after="80" w:before="0"/>
      </w:pPr>
    </w:p>
    <w:p>
      <w:pPr>
        <w:spacing w:after="100" w:line="259" w:lineRule="auto"/>
      </w:pPr>
      <w:r>
        <w:rPr>
          <w:rFonts w:ascii="Consolas" w:hAnsi="Consolas"/>
          <w:color w:val="712D85"/>
          <w:sz w:val="17"/>
        </w:rPr>
        <w:t>kind</w:t>
      </w:r>
      <w:r>
        <w:rPr>
          <w:color w:val="1A1A1A"/>
          <w:sz w:val="19"/>
        </w:rPr>
        <w:t xml:space="preserve"> is one of </w:t>
      </w:r>
      <w:r>
        <w:rPr>
          <w:rFonts w:ascii="Consolas" w:hAnsi="Consolas"/>
          <w:color w:val="712D85"/>
          <w:sz w:val="17"/>
        </w:rPr>
        <w:t>bottleneck</w:t>
      </w:r>
      <w:r>
        <w:rPr>
          <w:color w:val="1A1A1A"/>
          <w:sz w:val="19"/>
        </w:rPr>
        <w:t xml:space="preserve">, </w:t>
      </w:r>
      <w:r>
        <w:rPr>
          <w:rFonts w:ascii="Consolas" w:hAnsi="Consolas"/>
          <w:color w:val="712D85"/>
          <w:sz w:val="17"/>
        </w:rPr>
        <w:t>risk</w:t>
      </w:r>
      <w:r>
        <w:rPr>
          <w:color w:val="1A1A1A"/>
          <w:sz w:val="19"/>
        </w:rPr>
        <w:t xml:space="preserve">, </w:t>
      </w:r>
      <w:r>
        <w:rPr>
          <w:rFonts w:ascii="Consolas" w:hAnsi="Consolas"/>
          <w:color w:val="712D85"/>
          <w:sz w:val="17"/>
        </w:rPr>
        <w:t>metric</w:t>
      </w:r>
      <w:r>
        <w:rPr>
          <w:color w:val="1A1A1A"/>
          <w:sz w:val="19"/>
        </w:rPr>
        <w:t>. Annotate generously — these are</w:t>
      </w:r>
    </w:p>
    <w:p>
      <w:pPr>
        <w:spacing w:after="100" w:line="259" w:lineRule="auto"/>
      </w:pPr>
      <w:r>
        <w:rPr>
          <w:color w:val="1A1A1A"/>
          <w:sz w:val="19"/>
        </w:rPr>
        <w:t>what the future-state work acts on, and an unannotated activity is one nobody can</w:t>
      </w:r>
    </w:p>
    <w:p>
      <w:pPr>
        <w:spacing w:after="100" w:line="259" w:lineRule="auto"/>
      </w:pPr>
      <w:r>
        <w:rPr>
          <w:color w:val="1A1A1A"/>
          <w:sz w:val="19"/>
        </w:rPr>
        <w:t>justify changing.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Part C — the automation evidence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This part exists so that a future-state design can be </w:t>
      </w:r>
      <w:r>
        <w:rPr>
          <w:b/>
          <w:color w:val="1A1A1A"/>
          <w:sz w:val="19"/>
        </w:rPr>
        <w:t>argued</w:t>
      </w:r>
      <w:r>
        <w:rPr>
          <w:color w:val="1A1A1A"/>
          <w:sz w:val="19"/>
        </w:rPr>
        <w:t>, not asserted.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For </w:t>
      </w:r>
      <w:r>
        <w:rPr>
          <w:b/>
          <w:color w:val="1A1A1A"/>
          <w:sz w:val="19"/>
        </w:rPr>
        <w:t>every activity</w:t>
      </w:r>
      <w:r>
        <w:rPr>
          <w:color w:val="1A1A1A"/>
          <w:sz w:val="19"/>
        </w:rPr>
        <w:t xml:space="preserve"> in Part B, gather the evidence that determines whether it</w:t>
      </w:r>
    </w:p>
    <w:p>
      <w:pPr>
        <w:spacing w:after="100" w:line="259" w:lineRule="auto"/>
      </w:pPr>
      <w:r>
        <w:rPr>
          <w:color w:val="1A1A1A"/>
          <w:sz w:val="19"/>
        </w:rPr>
        <w:t>could be automated. Do not classify yet if the evidence is thin — say so.</w:t>
      </w:r>
    </w:p>
    <w:p>
      <w:pPr>
        <w:spacing w:after="100" w:line="259" w:lineRule="auto"/>
      </w:pPr>
      <w:r>
        <w:rPr>
          <w:color w:val="1A1A1A"/>
          <w:sz w:val="19"/>
        </w:rPr>
        <w:t>For each activity give: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Inputs and outputs</w:t>
      </w:r>
      <w:r>
        <w:rPr>
          <w:color w:val="1A1A1A"/>
          <w:sz w:val="19"/>
        </w:rPr>
        <w:t xml:space="preserve"> — what it consumes, what it produces, and in what form</w:t>
      </w:r>
    </w:p>
    <w:p>
      <w:pPr>
        <w:spacing w:after="100" w:line="259" w:lineRule="auto"/>
      </w:pPr>
      <w:r>
        <w:rPr>
          <w:color w:val="1A1A1A"/>
          <w:sz w:val="19"/>
        </w:rPr>
        <w:t>(structured record, free text, conversation, document, judgement)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Determinism</w:t>
      </w:r>
      <w:r>
        <w:rPr>
          <w:color w:val="1A1A1A"/>
          <w:sz w:val="19"/>
        </w:rPr>
        <w:t xml:space="preserve"> — is the output a function of the input, or does it require</w:t>
      </w:r>
    </w:p>
    <w:p>
      <w:pPr>
        <w:spacing w:after="100" w:line="259" w:lineRule="auto"/>
      </w:pPr>
      <w:r>
        <w:rPr>
          <w:color w:val="1A1A1A"/>
          <w:sz w:val="19"/>
        </w:rPr>
        <w:t>judgement? Quote the rule if there is one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Data availability</w:t>
      </w:r>
      <w:r>
        <w:rPr>
          <w:color w:val="1A1A1A"/>
          <w:sz w:val="19"/>
        </w:rPr>
        <w:t xml:space="preserve"> — does a system already hold what is needed, or does a</w:t>
      </w:r>
    </w:p>
    <w:p>
      <w:pPr>
        <w:spacing w:after="100" w:line="259" w:lineRule="auto"/>
      </w:pPr>
      <w:r>
        <w:rPr>
          <w:color w:val="1A1A1A"/>
          <w:sz w:val="19"/>
        </w:rPr>
        <w:t>person fetch, retype or reconcile it?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System reach</w:t>
      </w:r>
      <w:r>
        <w:rPr>
          <w:color w:val="1A1A1A"/>
          <w:sz w:val="19"/>
        </w:rPr>
        <w:t xml:space="preserve"> — do the systems involved expose APIs, or is this screen work?</w:t>
      </w:r>
    </w:p>
    <w:p>
      <w:pPr>
        <w:spacing w:after="100" w:line="259" w:lineRule="auto"/>
      </w:pPr>
      <w:r>
        <w:rPr>
          <w:color w:val="1A1A1A"/>
          <w:sz w:val="19"/>
        </w:rPr>
        <w:t>Say if unknown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Authority</w:t>
      </w:r>
      <w:r>
        <w:rPr>
          <w:color w:val="1A1A1A"/>
          <w:sz w:val="19"/>
        </w:rPr>
        <w:t xml:space="preserve"> — does anyone have to approve, sign, or be accountable? At what level?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Regulatory or contractual constraint</w:t>
      </w:r>
      <w:r>
        <w:rPr>
          <w:color w:val="1A1A1A"/>
          <w:sz w:val="19"/>
        </w:rPr>
        <w:t xml:space="preserve"> — anything requiring a human by rule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Volume and cycle time</w:t>
      </w:r>
      <w:r>
        <w:rPr>
          <w:color w:val="1A1A1A"/>
          <w:sz w:val="19"/>
        </w:rPr>
        <w:t xml:space="preserve"> — how often, and how long it takes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Error modes</w:t>
      </w:r>
      <w:r>
        <w:rPr>
          <w:color w:val="1A1A1A"/>
          <w:sz w:val="19"/>
        </w:rPr>
        <w:t xml:space="preserve"> — what goes wrong, how it is detected, what it costs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Variation</w:t>
      </w:r>
      <w:r>
        <w:rPr>
          <w:color w:val="1A1A1A"/>
          <w:sz w:val="19"/>
        </w:rPr>
        <w:t xml:space="preserve"> — do different people do it differently, and why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Then give a </w:t>
      </w:r>
      <w:r>
        <w:rPr>
          <w:b/>
          <w:color w:val="1A1A1A"/>
          <w:sz w:val="19"/>
        </w:rPr>
        <w:t>provisional label</w:t>
      </w:r>
      <w:r>
        <w:rPr>
          <w:color w:val="1A1A1A"/>
          <w:sz w:val="19"/>
        </w:rPr>
        <w:t xml:space="preserve"> with its reasoning: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7"/>
              </w:rPr>
              <w:t>Label</w:t>
            </w:r>
          </w:p>
        </w:tc>
        <w:tc>
          <w:tcPr>
            <w:tcW w:type="dxa" w:w="7370"/>
            <w:shd w:val="clear" w:fill="712D85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268"/>
            <w:shd w:val="clear" w:fill="FFFFFF"/>
          </w:tcPr>
          <w:p>
            <w:pPr>
              <w:spacing w:after="40" w:before="40" w:line="240" w:lineRule="auto"/>
            </w:pPr>
            <w:r>
              <w:rPr>
                <w:rFonts w:ascii="Consolas" w:hAnsi="Consolas"/>
                <w:color w:val="712D85"/>
                <w:sz w:val="15"/>
              </w:rPr>
              <w:t>automatable</w:t>
            </w:r>
          </w:p>
        </w:tc>
        <w:tc>
          <w:tcPr>
            <w:tcW w:type="dxa" w:w="7370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7"/>
              </w:rPr>
              <w:t>Deterministic, data already held or exposed, no judgement or approval authority required</w:t>
            </w:r>
          </w:p>
        </w:tc>
      </w:tr>
      <w:tr>
        <w:tc>
          <w:tcPr>
            <w:tcW w:type="dxa" w:w="2268"/>
            <w:shd w:val="clear" w:fill="FFFFFF"/>
          </w:tcPr>
          <w:p>
            <w:pPr>
              <w:spacing w:after="40" w:before="40" w:line="240" w:lineRule="auto"/>
            </w:pPr>
            <w:r>
              <w:rPr>
                <w:rFonts w:ascii="Consolas" w:hAnsi="Consolas"/>
                <w:color w:val="712D85"/>
                <w:sz w:val="15"/>
              </w:rPr>
              <w:t>assistable</w:t>
            </w:r>
          </w:p>
        </w:tc>
        <w:tc>
          <w:tcPr>
            <w:tcW w:type="dxa" w:w="7370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7"/>
              </w:rPr>
              <w:t>A system could do most of it but a person keeps the decision — drafting, pre-filling, suggesting</w:t>
            </w:r>
          </w:p>
        </w:tc>
      </w:tr>
      <w:tr>
        <w:tc>
          <w:tcPr>
            <w:tcW w:type="dxa" w:w="2268"/>
            <w:shd w:val="clear" w:fill="FFFFFF"/>
          </w:tcPr>
          <w:p>
            <w:pPr>
              <w:spacing w:after="40" w:before="40" w:line="240" w:lineRule="auto"/>
            </w:pPr>
            <w:r>
              <w:rPr>
                <w:rFonts w:ascii="Consolas" w:hAnsi="Consolas"/>
                <w:color w:val="712D85"/>
                <w:sz w:val="15"/>
              </w:rPr>
              <w:t>human-required</w:t>
            </w:r>
          </w:p>
        </w:tc>
        <w:tc>
          <w:tcPr>
            <w:tcW w:type="dxa" w:w="7370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7"/>
              </w:rPr>
              <w:t>Approval authority, physical presence, relationship, or a regulatory obligation</w:t>
            </w:r>
          </w:p>
        </w:tc>
      </w:tr>
      <w:tr>
        <w:tc>
          <w:tcPr>
            <w:tcW w:type="dxa" w:w="2268"/>
            <w:shd w:val="clear" w:fill="FFFFFF"/>
          </w:tcPr>
          <w:p>
            <w:pPr>
              <w:spacing w:after="40" w:before="40" w:line="240" w:lineRule="auto"/>
            </w:pPr>
            <w:r>
              <w:rPr>
                <w:rFonts w:ascii="Consolas" w:hAnsi="Consolas"/>
                <w:color w:val="712D85"/>
                <w:sz w:val="15"/>
              </w:rPr>
              <w:t>unclassified</w:t>
            </w:r>
          </w:p>
        </w:tc>
        <w:tc>
          <w:tcPr>
            <w:tcW w:type="dxa" w:w="7370"/>
            <w:shd w:val="clear" w:fill="FFFFFF"/>
          </w:tcPr>
          <w:p>
            <w:pPr>
              <w:spacing w:after="40" w:before="40" w:line="240" w:lineRule="auto"/>
            </w:pPr>
            <w:r>
              <w:rPr>
                <w:color w:val="1A1A1A"/>
                <w:sz w:val="17"/>
              </w:rPr>
              <w:t xml:space="preserve">The corpus does not say enough. </w:t>
            </w:r>
            <w:r>
              <w:rPr>
                <w:b/>
                <w:color w:val="1A1A1A"/>
                <w:sz w:val="17"/>
              </w:rPr>
              <w:t>State exactly what is missing.</w:t>
            </w:r>
          </w:p>
        </w:tc>
      </w:tr>
    </w:tbl>
    <w:p>
      <w:pPr>
        <w:spacing w:after="80" w:before="0"/>
      </w:pPr>
    </w:p>
    <w:p>
      <w:pPr>
        <w:spacing w:after="100" w:line="259" w:lineRule="auto"/>
      </w:pPr>
      <w:r>
        <w:rPr>
          <w:b/>
          <w:color w:val="1A1A1A"/>
          <w:sz w:val="19"/>
        </w:rPr>
        <w:t>A label with no cited evidence is invalid.</w:t>
      </w:r>
      <w:r>
        <w:rPr>
          <w:color w:val="1A1A1A"/>
          <w:sz w:val="19"/>
        </w:rPr>
        <w:t xml:space="preserve"> Only </w:t>
      </w:r>
      <w:r>
        <w:rPr>
          <w:rFonts w:ascii="Consolas" w:hAnsi="Consolas"/>
          <w:color w:val="712D85"/>
          <w:sz w:val="17"/>
        </w:rPr>
        <w:t>unclassified</w:t>
      </w:r>
      <w:r>
        <w:rPr>
          <w:color w:val="1A1A1A"/>
          <w:sz w:val="19"/>
        </w:rPr>
        <w:t xml:space="preserve"> may cite</w:t>
      </w:r>
    </w:p>
    <w:p>
      <w:pPr>
        <w:spacing w:after="100" w:line="259" w:lineRule="auto"/>
      </w:pPr>
      <w:r>
        <w:rPr>
          <w:color w:val="1A1A1A"/>
          <w:sz w:val="19"/>
        </w:rPr>
        <w:t>nothing, and it must explain itself. If the evidence will not carry a confident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label, downgrade to </w:t>
      </w:r>
      <w:r>
        <w:rPr>
          <w:rFonts w:ascii="Consolas" w:hAnsi="Consolas"/>
          <w:color w:val="712D85"/>
          <w:sz w:val="17"/>
        </w:rPr>
        <w:t>unclassified</w:t>
      </w:r>
      <w:r>
        <w:rPr>
          <w:color w:val="1A1A1A"/>
          <w:sz w:val="19"/>
        </w:rPr>
        <w:t xml:space="preserve"> — do not invent a citation to make a label</w:t>
      </w:r>
    </w:p>
    <w:p>
      <w:pPr>
        <w:spacing w:after="100" w:line="259" w:lineRule="auto"/>
      </w:pPr>
      <w:r>
        <w:rPr>
          <w:color w:val="1A1A1A"/>
          <w:sz w:val="19"/>
        </w:rPr>
        <w:t>stand up. An honest "we do not know whether this system has an API" is actionable;</w:t>
      </w:r>
    </w:p>
    <w:p>
      <w:pPr>
        <w:spacing w:after="100" w:line="259" w:lineRule="auto"/>
      </w:pPr>
      <w:r>
        <w:rPr>
          <w:color w:val="1A1A1A"/>
          <w:sz w:val="19"/>
        </w:rPr>
        <w:t>a confident label that turns out to be wrong is worse than no label.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For each </w:t>
      </w:r>
      <w:r>
        <w:rPr>
          <w:rFonts w:ascii="Consolas" w:hAnsi="Consolas"/>
          <w:color w:val="712D85"/>
          <w:sz w:val="17"/>
        </w:rPr>
        <w:t>automatable</w:t>
      </w:r>
      <w:r>
        <w:rPr>
          <w:color w:val="1A1A1A"/>
          <w:sz w:val="19"/>
        </w:rPr>
        <w:t xml:space="preserve"> or </w:t>
      </w:r>
      <w:r>
        <w:rPr>
          <w:rFonts w:ascii="Consolas" w:hAnsi="Consolas"/>
          <w:color w:val="712D85"/>
          <w:sz w:val="17"/>
        </w:rPr>
        <w:t>assistable</w:t>
      </w:r>
      <w:r>
        <w:rPr>
          <w:color w:val="1A1A1A"/>
          <w:sz w:val="19"/>
        </w:rPr>
        <w:t xml:space="preserve"> activity, also give: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What the automation would have to do</w:t>
      </w:r>
      <w:r>
        <w:rPr>
          <w:color w:val="1A1A1A"/>
          <w:sz w:val="19"/>
        </w:rPr>
        <w:t>, in one or two sentences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Preconditions</w:t>
      </w:r>
      <w:r>
        <w:rPr>
          <w:color w:val="1A1A1A"/>
          <w:sz w:val="19"/>
        </w:rPr>
        <w:t xml:space="preserve"> — what must be true first (integration, data quality, a policy</w:t>
      </w:r>
    </w:p>
    <w:p>
      <w:pPr>
        <w:spacing w:after="100" w:line="259" w:lineRule="auto"/>
      </w:pPr>
      <w:r>
        <w:rPr>
          <w:color w:val="1A1A1A"/>
          <w:sz w:val="19"/>
        </w:rPr>
        <w:t>change, a decision someone has to make)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What remains human</w:t>
      </w:r>
      <w:r>
        <w:rPr>
          <w:color w:val="1A1A1A"/>
          <w:sz w:val="19"/>
        </w:rPr>
        <w:t xml:space="preserve"> afterwards, and why</w:t>
      </w:r>
    </w:p>
    <w:p>
      <w:pPr>
        <w:pStyle w:val="ListBullet"/>
        <w:spacing w:after="50" w:line="259" w:lineRule="auto"/>
        <w:ind w:left="340"/>
      </w:pPr>
      <w:r>
        <w:rPr>
          <w:b/>
          <w:color w:val="1A1A1A"/>
          <w:sz w:val="19"/>
        </w:rPr>
        <w:t>Expected effect</w:t>
      </w:r>
      <w:r>
        <w:rPr>
          <w:color w:val="1A1A1A"/>
          <w:sz w:val="19"/>
        </w:rPr>
        <w:t xml:space="preserve"> — tied to the volume, cycle time or error rate you recorded,</w:t>
      </w:r>
    </w:p>
    <w:p>
      <w:pPr>
        <w:spacing w:after="100" w:line="259" w:lineRule="auto"/>
      </w:pPr>
      <w:r>
        <w:rPr>
          <w:color w:val="1A1A1A"/>
          <w:sz w:val="19"/>
        </w:rPr>
        <w:t>not to a generic claim about efficiency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Where an </w:t>
      </w:r>
      <w:r>
        <w:rPr>
          <w:b/>
          <w:color w:val="1A1A1A"/>
          <w:sz w:val="19"/>
        </w:rPr>
        <w:t>agentic</w:t>
      </w:r>
      <w:r>
        <w:rPr>
          <w:color w:val="1A1A1A"/>
          <w:sz w:val="19"/>
        </w:rPr>
        <w:t xml:space="preserve"> approach is warranted — a system that plans across several</w:t>
      </w:r>
    </w:p>
    <w:p>
      <w:pPr>
        <w:spacing w:after="100" w:line="259" w:lineRule="auto"/>
      </w:pPr>
      <w:r>
        <w:rPr>
          <w:color w:val="1A1A1A"/>
          <w:sz w:val="19"/>
        </w:rPr>
        <w:t>steps, calls tools, and handles variation rather than following a fixed script —</w:t>
      </w:r>
    </w:p>
    <w:p>
      <w:pPr>
        <w:spacing w:after="100" w:line="259" w:lineRule="auto"/>
      </w:pPr>
      <w:r>
        <w:rPr>
          <w:color w:val="1A1A1A"/>
          <w:sz w:val="19"/>
        </w:rPr>
        <w:t>say so explicitly and say what makes it agentic rather than a rule or a script.</w:t>
      </w:r>
    </w:p>
    <w:p>
      <w:pPr>
        <w:spacing w:after="100" w:line="259" w:lineRule="auto"/>
      </w:pPr>
      <w:r>
        <w:rPr>
          <w:color w:val="1A1A1A"/>
          <w:sz w:val="19"/>
        </w:rPr>
        <w:t>Be sparing: most of what looks agentic is a workflow with better data.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Part D — conflicts, gaps and open questions</w:t>
      </w:r>
    </w:p>
    <w:p>
      <w:pPr>
        <w:spacing w:after="100" w:line="259" w:lineRule="auto"/>
      </w:pPr>
      <w:r>
        <w:rPr>
          <w:color w:val="1A1A1A"/>
          <w:sz w:val="19"/>
        </w:rPr>
        <w:t>Three lists, kept separate because they need different actions.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Conflicts</w:t>
      </w:r>
      <w:r>
        <w:rPr>
          <w:color w:val="1A1A1A"/>
          <w:sz w:val="19"/>
        </w:rPr>
        <w:t xml:space="preserve"> — where sources disagree. Give both accounts, both sources, and</w:t>
      </w:r>
    </w:p>
    <w:p>
      <w:pPr>
        <w:spacing w:after="100" w:line="259" w:lineRule="auto"/>
      </w:pPr>
      <w:r>
        <w:rPr>
          <w:color w:val="1A1A1A"/>
          <w:sz w:val="19"/>
        </w:rPr>
        <w:t>what turns on the difference. Do not resolve them.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Gaps</w:t>
      </w:r>
      <w:r>
        <w:rPr>
          <w:color w:val="1A1A1A"/>
          <w:sz w:val="19"/>
        </w:rPr>
        <w:t xml:space="preserve"> — every element marked </w:t>
      </w:r>
      <w:r>
        <w:rPr>
          <w:rFonts w:ascii="Consolas" w:hAnsi="Consolas"/>
          <w:color w:val="712D85"/>
          <w:sz w:val="17"/>
        </w:rPr>
        <w:t>unknown</w:t>
      </w:r>
      <w:r>
        <w:rPr>
          <w:color w:val="1A1A1A"/>
          <w:sz w:val="19"/>
        </w:rPr>
        <w:t>, with what would close it and who</w:t>
      </w:r>
    </w:p>
    <w:p>
      <w:pPr>
        <w:spacing w:after="100" w:line="259" w:lineRule="auto"/>
      </w:pPr>
      <w:r>
        <w:rPr>
          <w:color w:val="1A1A1A"/>
          <w:sz w:val="19"/>
        </w:rPr>
        <w:t>would likely know.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Questions for a human</w:t>
      </w:r>
      <w:r>
        <w:rPr>
          <w:color w:val="1A1A1A"/>
          <w:sz w:val="19"/>
        </w:rPr>
        <w:t xml:space="preserve"> — decisions the corpus cannot settle: policy choices,</w:t>
      </w:r>
    </w:p>
    <w:p>
      <w:pPr>
        <w:spacing w:after="100" w:line="259" w:lineRule="auto"/>
      </w:pPr>
      <w:r>
        <w:rPr>
          <w:color w:val="1A1A1A"/>
          <w:sz w:val="19"/>
        </w:rPr>
        <w:t>ownership questions, anything where the right answer is a judgement rather than</w:t>
      </w:r>
    </w:p>
    <w:p>
      <w:pPr>
        <w:spacing w:after="100" w:line="259" w:lineRule="auto"/>
      </w:pPr>
      <w:r>
        <w:rPr>
          <w:color w:val="1A1A1A"/>
          <w:sz w:val="19"/>
        </w:rPr>
        <w:t>a fact.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Output format</w:t>
      </w:r>
    </w:p>
    <w:p>
      <w:pPr>
        <w:pStyle w:val="ListNumber"/>
        <w:spacing w:after="50" w:line="259" w:lineRule="auto"/>
        <w:ind w:left="340"/>
      </w:pPr>
      <w:r>
        <w:rPr>
          <w:color w:val="1A1A1A"/>
          <w:sz w:val="19"/>
        </w:rPr>
        <w:t>A short preamble: what you read, what you could not access, and how confident</w:t>
      </w:r>
    </w:p>
    <w:p>
      <w:pPr>
        <w:spacing w:after="100" w:line="259" w:lineRule="auto"/>
      </w:pPr>
      <w:r>
        <w:rPr>
          <w:color w:val="1A1A1A"/>
          <w:sz w:val="19"/>
        </w:rPr>
        <w:t>you are overall.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Part A</w:t>
      </w:r>
      <w:r>
        <w:rPr>
          <w:color w:val="1A1A1A"/>
          <w:sz w:val="19"/>
        </w:rPr>
        <w:t xml:space="preserve"> as structured markdown, facet by facet, element by element.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Part B</w:t>
      </w:r>
      <w:r>
        <w:rPr>
          <w:color w:val="1A1A1A"/>
          <w:sz w:val="19"/>
        </w:rPr>
        <w:t xml:space="preserve"> as a single fenced </w:t>
      </w:r>
      <w:r>
        <w:rPr>
          <w:rFonts w:ascii="Consolas" w:hAnsi="Consolas"/>
          <w:color w:val="712D85"/>
          <w:sz w:val="17"/>
        </w:rPr>
        <w:t>json</w:t>
      </w:r>
      <w:r>
        <w:rPr>
          <w:color w:val="1A1A1A"/>
          <w:sz w:val="19"/>
        </w:rPr>
        <w:t xml:space="preserve"> block.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Part C</w:t>
      </w:r>
      <w:r>
        <w:rPr>
          <w:color w:val="1A1A1A"/>
          <w:sz w:val="19"/>
        </w:rPr>
        <w:t xml:space="preserve"> as one section per activity, then a summary table of the labels with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counts and the share you left </w:t>
      </w:r>
      <w:r>
        <w:rPr>
          <w:rFonts w:ascii="Consolas" w:hAnsi="Consolas"/>
          <w:color w:val="712D85"/>
          <w:sz w:val="17"/>
        </w:rPr>
        <w:t>unclassified</w:t>
      </w:r>
      <w:r>
        <w:rPr>
          <w:color w:val="1A1A1A"/>
          <w:sz w:val="19"/>
        </w:rPr>
        <w:t>.</w:t>
      </w:r>
    </w:p>
    <w:p>
      <w:pPr>
        <w:pStyle w:val="ListNumber"/>
        <w:spacing w:after="50" w:line="259" w:lineRule="auto"/>
        <w:ind w:left="340"/>
      </w:pPr>
      <w:r>
        <w:rPr>
          <w:b/>
          <w:color w:val="1A1A1A"/>
          <w:sz w:val="19"/>
        </w:rPr>
        <w:t>Part D</w:t>
      </w:r>
      <w:r>
        <w:rPr>
          <w:color w:val="1A1A1A"/>
          <w:sz w:val="19"/>
        </w:rPr>
        <w:t xml:space="preserve"> as three lists.</w:t>
      </w:r>
    </w:p>
    <w:p>
      <w:pPr>
        <w:spacing w:after="100" w:line="259" w:lineRule="auto"/>
      </w:pPr>
      <w:r>
        <w:rPr>
          <w:color w:val="1A1A1A"/>
          <w:sz w:val="19"/>
        </w:rPr>
        <w:t>British English throughout. Sentence case. Spaced en-dashes. No emoji.</w:t>
      </w:r>
    </w:p>
    <w:p>
      <w:pPr>
        <w:spacing w:after="60" w:before="220"/>
      </w:pPr>
      <w:r>
        <w:rPr>
          <w:b/>
          <w:i w:val="0"/>
          <w:color w:val="451B4F"/>
          <w:sz w:val="27"/>
        </w:rPr>
        <w:t>Before you return</w:t>
      </w:r>
    </w:p>
    <w:p>
      <w:pPr>
        <w:spacing w:after="100" w:line="259" w:lineRule="auto"/>
      </w:pPr>
      <w:r>
        <w:rPr>
          <w:color w:val="1A1A1A"/>
          <w:sz w:val="19"/>
        </w:rPr>
        <w:t>Check your own output against these, and fix what fails: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 xml:space="preserve">Does every element have a state, and does every </w:t>
      </w:r>
      <w:r>
        <w:rPr>
          <w:rFonts w:ascii="Consolas" w:hAnsi="Consolas"/>
          <w:color w:val="712D85"/>
          <w:sz w:val="17"/>
        </w:rPr>
        <w:t>answered</w:t>
      </w:r>
      <w:r>
        <w:rPr>
          <w:color w:val="1A1A1A"/>
          <w:sz w:val="19"/>
        </w:rPr>
        <w:t xml:space="preserve"> element have at least</w:t>
      </w:r>
    </w:p>
    <w:p>
      <w:pPr>
        <w:spacing w:after="100" w:line="259" w:lineRule="auto"/>
      </w:pPr>
      <w:r>
        <w:rPr>
          <w:color w:val="1A1A1A"/>
          <w:sz w:val="19"/>
        </w:rPr>
        <w:t>one citation?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>Is every threshold ladder complete to the top, or explicitly marked incomplete?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 xml:space="preserve">Does every node in Part B carry a </w:t>
      </w:r>
      <w:r>
        <w:rPr>
          <w:rFonts w:ascii="Consolas" w:hAnsi="Consolas"/>
          <w:color w:val="712D85"/>
          <w:sz w:val="17"/>
        </w:rPr>
        <w:t>sourceFacet</w:t>
      </w:r>
      <w:r>
        <w:rPr>
          <w:color w:val="1A1A1A"/>
          <w:sz w:val="19"/>
        </w:rPr>
        <w:t>?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>Does every confident label in Part C cite evidence?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>Have you preserved every conflict rather than resolving one?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 xml:space="preserve">Is anything asserted that you inferred without marking it </w:t>
      </w:r>
      <w:r>
        <w:rPr>
          <w:rFonts w:ascii="Consolas" w:hAnsi="Consolas"/>
          <w:color w:val="712D85"/>
          <w:sz w:val="17"/>
        </w:rPr>
        <w:t>inferred</w:t>
      </w:r>
      <w:r>
        <w:rPr>
          <w:color w:val="1A1A1A"/>
          <w:sz w:val="19"/>
        </w:rPr>
        <w:t>?</w:t>
      </w:r>
    </w:p>
    <w:p>
      <w:pPr>
        <w:pStyle w:val="ListBullet"/>
        <w:spacing w:after="50" w:line="259" w:lineRule="auto"/>
        <w:ind w:left="340"/>
      </w:pPr>
      <w:r>
        <w:rPr>
          <w:color w:val="1A1A1A"/>
          <w:sz w:val="19"/>
        </w:rPr>
        <w:t>What is the single weakest claim in this document, and have you said so?</w:t>
      </w:r>
    </w:p>
    <w:p>
      <w:pPr>
        <w:spacing w:after="100" w:line="259" w:lineRule="auto"/>
      </w:pPr>
      <w:r>
        <w:rPr>
          <w:color w:val="1A1A1A"/>
          <w:sz w:val="19"/>
        </w:rPr>
        <w:t xml:space="preserve">State the </w:t>
      </w:r>
      <w:r>
        <w:rPr>
          <w:rFonts w:ascii="Consolas" w:hAnsi="Consolas"/>
          <w:color w:val="712D85"/>
          <w:sz w:val="17"/>
        </w:rPr>
        <w:t>unclassified</w:t>
      </w:r>
      <w:r>
        <w:rPr>
          <w:color w:val="1A1A1A"/>
          <w:sz w:val="19"/>
        </w:rPr>
        <w:t xml:space="preserve"> share explicitly. A high proportion is a legitimate</w:t>
      </w:r>
    </w:p>
    <w:p>
      <w:pPr>
        <w:spacing w:after="100" w:line="259" w:lineRule="auto"/>
      </w:pPr>
      <w:r>
        <w:rPr>
          <w:color w:val="1A1A1A"/>
          <w:sz w:val="19"/>
        </w:rPr>
        <w:t>finding about the corpus — it tells the reader where to send someone to ask. A</w:t>
      </w:r>
    </w:p>
    <w:p>
      <w:pPr>
        <w:spacing w:after="100" w:line="259" w:lineRule="auto"/>
      </w:pPr>
      <w:r>
        <w:rPr>
          <w:color w:val="1A1A1A"/>
          <w:sz w:val="19"/>
        </w:rPr>
        <w:t>low proportion achieved by guessing is a failure that will not be visible until</w:t>
      </w:r>
    </w:p>
    <w:p>
      <w:pPr>
        <w:spacing w:after="100" w:line="259" w:lineRule="auto"/>
      </w:pPr>
      <w:r>
        <w:rPr>
          <w:color w:val="1A1A1A"/>
          <w:sz w:val="19"/>
        </w:rPr>
        <w:t>someone acts on it.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