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SME interview tool — V1 specification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Conversational process knowledge capture · the “why” layer of the BPR pipeline</w:t>
      </w:r>
    </w:p>
    <w:p>
      <w:pPr>
        <w:pBdr>
          <w:bottom w:val="single" w:color="0B3D6E" w:sz="8" w:space="4"/>
        </w:pBdr>
        <w:spacing w:after="20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Version 0.1 — draft for review · 17 July 2026 · Owner: Joseph · Reviewer: Paul (process architecture)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D6E"/>
          <w:sz w:val="26"/>
          <w:szCs w:val="26"/>
        </w:rPr>
        <w:t xml:space="preserve">1. Purpose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 conversational agent that interviews process users against the Simplified Process Facets framework and produces a structured, provenance-tagged Markdown process specification suitable for modelling into ARIS. It is the primary capture instrument for processes that are undocumented, or stale, in ARIS — and the human “why” layer of the wider BPR pipeline. The tool captures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stated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knowledge; every output is attributed and tagged as such, so that stated-versus-actual comparison remains possible once evidence-based discovery methods come online.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D6E"/>
          <w:sz w:val="26"/>
          <w:szCs w:val="26"/>
        </w:rPr>
        <w:t xml:space="preserve">2. Decisions locked (working session, 17 July 2026)</w:t>
      </w:r>
    </w:p>
    <w:tbl>
      <w:tblPr>
        <w:tblW w:type="dxa" w:w="9360"/>
        <w:tblBorders>
          <w:top w:val="single" w:color="D1D5DB" w:sz="4"/>
          <w:left w:val="none" w:color="FFFFFF" w:sz="0"/>
          <w:bottom w:val="single" w:color="D1D5DB" w:sz="4"/>
          <w:right w:val="none" w:color="FFFFFF" w:sz="0"/>
          <w:insideH w:val="single" w:color="D1D5DB" w:sz="4"/>
          <w:insideV w:val="none" w:color="FFFFFF" w:sz="0"/>
        </w:tblBorders>
      </w:tblPr>
      <w:tblGrid>
        <w:gridCol w:w="700"/>
        <w:gridCol w:w="4700"/>
        <w:gridCol w:w="2600"/>
        <w:gridCol w:w="1360"/>
      </w:tblGrid>
      <w:tr>
        <w:tc>
          <w:tcPr>
            <w:tcW w:type="dxa" w:w="7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#</w:t>
            </w:r>
          </w:p>
        </w:tc>
        <w:tc>
          <w:tcPr>
            <w:tcW w:type="dxa" w:w="47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Decision</w:t>
            </w:r>
          </w:p>
        </w:tc>
        <w:tc>
          <w:tcPr>
            <w:tcW w:type="dxa" w:w="2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Rationale</w:t>
            </w:r>
          </w:p>
        </w:tc>
        <w:tc>
          <w:tcPr>
            <w:tcW w:type="dxa" w:w="136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D1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Modality — self-serve. The process user follows a link, identifies themselves (full name, email, role) and is interviewed against preloaded project context.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session design converged on self-serve; the call opened with an architect-assisted framing.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To confirm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D2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Taxonomy — projects are named by department, not process. One campaign yields multiple process specifications.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Most target processes are absent from ARIS; users will not recognise canonical process names.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3D6E"/>
                <w:sz w:val="19"/>
                <w:szCs w:val="19"/>
              </w:rPr>
              <w:t xml:space="preserve">Locked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D3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Distribution — interview links are sent manually by the architect; the system keeps the interview register (who, role, when).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Automated outbound email requires third-party tooling approval not yet in place.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3D6E"/>
                <w:sz w:val="19"/>
                <w:szCs w:val="19"/>
              </w:rPr>
              <w:t xml:space="preserve">Locked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D4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Output — Markdown, structured to the 12 facets, non-conversational. One specification per process.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Markdown imports cleanly as an ARIS modelling input; transcript form does not.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3D6E"/>
                <w:sz w:val="19"/>
                <w:szCs w:val="19"/>
              </w:rPr>
              <w:t xml:space="preserve">Locked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D5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Framework — Simplified Process Facets v2 (“simplified” document) is the interview blueprint. Worked examples per facet to be supplied (Paul).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Facets define coverage; examples calibrate answer quality (e.g. approval thresholds by governance level).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3D6E"/>
                <w:sz w:val="19"/>
                <w:szCs w:val="19"/>
              </w:rPr>
              <w:t xml:space="preserve">Locked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D6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Iteration — build V1 now; further capability lands in V1.1.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Learn from a small pilot before scaling toward the ~5,000-interview ambition.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3D6E"/>
                <w:sz w:val="19"/>
                <w:szCs w:val="19"/>
              </w:rPr>
              <w:t xml:space="preserve">Locked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D6E"/>
          <w:sz w:val="26"/>
          <w:szCs w:val="26"/>
        </w:rPr>
        <w:t xml:space="preserve">3. Scope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In scope for V1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Project creation — department, optional named target processes, interviewee register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Self-serve session flow with pause and resume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Adaptive interviewing engine driven by the 12 facets with per-facet coverage 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Markdown specification generation to the schema in §6, with provenance frontmatter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Interview register — who has been interviewed, in what role, against which project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Out of scope for V1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Automated email distribution; ARIS import automation; analytics dashboards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Multi-informant consolidation into a single specification (V1.1 — see §9)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Any task mining, telemetry, or screen capture — statements only, by design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D6E"/>
          <w:sz w:val="26"/>
          <w:szCs w:val="26"/>
        </w:rPr>
        <w:t xml:space="preserve">4. Session flow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Entry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user opens the link; privacy notice displayed; user enters full name, email address, and role in the business.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Context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department confirmed from the project. If target processes were preloaded, the user selects theirs; otherwise the opening question is “describe a process you perform for the business” and the agent establishes name, purpose, and boundaries (facet 1).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Interview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the agent works through the facets adaptively (order follows the conversation, coverage follows the framework), one question at a time, under the behaviour rules in §5.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Review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the agent plays back a per-facet summary; the user corrects or confirms. Corrections are applied; unresolved points are recorded as open items, not silently dropped.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Close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the Markdown specification is generated, the register is updated, and the user is thanked with a note on what happens next.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D6E"/>
          <w:sz w:val="26"/>
          <w:szCs w:val="26"/>
        </w:rPr>
        <w:t xml:space="preserve">5. Agent interviewing behaviour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One question at a time, in plain language. Facet names and modelling jargon never surface to the user.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Anchor in the concrete before the general — “walk me through the last time you did this” precedes “how does it usually work”.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Critical-incident questioning consistently yields higher-fidelity accounts than abstract description.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Track coverage per facet with three states — answered · unknown to this informant · not applicable. A session cannot close with a silent gap; every facet carries one of the three states.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Probe approval criteria to thresholds and levels (e.g. value bands mapped to governance tiers), not to “it gets approved”.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Treat facet 12 (bottlenecks and issues) as a first-class section — longest task, queues, workarounds, and degree of standardisation — not a closing formality.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Never lead the witness. The agent records the process as performed; it does not suggest, correct, or optimise during capture.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Attribute everything; average nothing. Statements are recorded against the informant. Conflicts with other informants are findings for the process owner, not noise to smooth over.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Steer away from third-party personal remarks — role-based descriptions (“the finance approver”) rather than named colleagues, unless the person is a formal process owner.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Respect time — target 25–40 minutes; offer pause-and-resume rather than rushing coverage.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D6E"/>
          <w:sz w:val="26"/>
          <w:szCs w:val="26"/>
        </w:rPr>
        <w:t xml:space="preserve">6. Output schema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One Markdown file per process, per informant (consolidation is V1.1). Frontmatter carries identity and provenance; the body carries the 12 facets, each opening with its coverage state. Email addresses live in the interview register only — the specification document itself carries name and role. Skeleton: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---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process_name: &lt;working name&gt;            # may be provisional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department: &lt;department&gt;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project_id: &lt;campaign id&gt;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informant: {name: &lt;name&gt;, role: &lt;role&gt;}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interviewed: 2026-07-17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duration_min: &lt;n&gt;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provenance: stated                      # never omitted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coverage: {answered: n, unknown: n, not_applicable: n}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open_items: [&lt;unresolved review points&gt;]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---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## 1. Process identity &amp; context        [answered]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…structured content, informant’s language preserved…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## 5. Workflow &amp; activities             [answered]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1. &lt;step&gt; — actor, system, handoff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2. &lt;step&gt; — decision: &lt;condition&gt; → &lt;path A&gt; / &lt;path B&gt;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## 9. Risk, controls &amp; compliance       [unknown to informant]</w:t>
      </w:r>
    </w:p>
    <w:p>
      <w:pPr>
        <w:shd w:fill="F8F9FA" w:color="auto" w:val="clear"/>
        <w:spacing w:after="0" w:line="240"/>
        <w:ind w:left="240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## 12. Bottlenecks &amp; issues             [answered]</w:t>
      </w:r>
    </w:p>
    <w:p>
      <w:pPr>
        <w:spacing w:after="120" w:before="12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Facet 5 is elicited and rendered as an ordered step list with explicit actors, systems, decision points, and handoffs — not prose — because it maps directly to ARIS EPC objects (functions, events, connectors, org units, application systems).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D6E"/>
          <w:sz w:val="26"/>
          <w:szCs w:val="26"/>
        </w:rPr>
        <w:t xml:space="preserve">7. Data protection and governance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Privacy notice at session entry: purpose, what is collected, retention, who sees it. Participation is voluntary and transparent.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Personal data collected: name, email, role, and statements about the informant’s own work. No monitoring, telemetry, or recording of activity — the design deliberately stays on the compliant side of the task-mining line.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Retention: interview corpus retained for the life of the campaign plus a defined period, then reviewed. Position to be agreed before pilot.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Third-party personal data minimised by agent behaviour (§5); outputs screened before circulation.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 short screening note to the DPO before any scale-up beyond the pilot. The 5,000-interview ambition warrants it even though this is materially lower-risk than task mining.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D6E"/>
          <w:sz w:val="26"/>
          <w:szCs w:val="26"/>
        </w:rPr>
        <w:t xml:space="preserve">8. Pilot and evaluation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One department · 5–10 informants · 2–3 target processes · pilot review gates any scale-up.</w:t>
      </w:r>
    </w:p>
    <w:tbl>
      <w:tblPr>
        <w:tblW w:type="dxa" w:w="9360"/>
        <w:tblBorders>
          <w:top w:val="single" w:color="D1D5DB" w:sz="4"/>
          <w:left w:val="none" w:color="FFFFFF" w:sz="0"/>
          <w:bottom w:val="single" w:color="D1D5DB" w:sz="4"/>
          <w:right w:val="none" w:color="FFFFFF" w:sz="0"/>
          <w:insideH w:val="single" w:color="D1D5DB" w:sz="4"/>
          <w:insideV w:val="none" w:color="FFFFFF" w:sz="0"/>
        </w:tblBorders>
      </w:tblPr>
      <w:tblGrid>
        <w:gridCol w:w="700"/>
        <w:gridCol w:w="3300"/>
        <w:gridCol w:w="5360"/>
      </w:tblGrid>
      <w:tr>
        <w:tc>
          <w:tcPr>
            <w:tcW w:type="dxa" w:w="7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Measure</w:t>
            </w:r>
          </w:p>
        </w:tc>
        <w:tc>
          <w:tcPr>
            <w:tcW w:type="dxa" w:w="536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Acceptance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E1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Coverage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≥ 80% of facets in state “answered” per session, median across the pilot; zero silent gaps.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E2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Efficiency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Median session ≤ 40 minutes; architect effort per finished specification materially lower than the current workshop route (baseline measured before pilot).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E3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Fidelity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Process owner review accepts each specification with only minor corrections — no material misrepresentation of how the work runs.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E4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ARIS usability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 modeller can draft an EPC from the specification without returning to the informant.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E5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Experience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Informant rating ≥ 4/5 and willingness to recommend a colleague take part.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D6E"/>
          <w:sz w:val="26"/>
          <w:szCs w:val="26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D1 confirmation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self-serve versus architect-assisted is a product decision, not a detail; confirm before build.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The ARIS import seam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manual modelling from the specification, or automated import? The answer sets how strict the Markdown schema must be. V1 assumes a human modeller; the schema is designed so tightening later is additive, not a rewrite.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Consolidation ownership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when several informants describe the same process, who merges, and when? Proposed for V1.1: a consolidation view with conflicts routed to the process owner as findings.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Hosting and approval path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where the tool runs, data residency, and the internal approval route for putting it in front of employees.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B3D6E"/>
          <w:sz w:val="26"/>
          <w:szCs w:val="26"/>
        </w:rPr>
        <w:t xml:space="preserve">10. V1.1 candidates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Multi-informant consolidation with attributed conflict findings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Per-facet example bank surfaced in-session (Paul’s worked examples) to calibrate answers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Stated-versus-actual comparison once document mining / process mining evidence is available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ARIS import automation against a hardened schema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2026-07-17T15:13:23.504Z</dcterms:created>
  <dcterms:modified xsi:type="dcterms:W3CDTF">2026-07-17T15:13:23.531Z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