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b/>
          <w:i w:val="0"/>
          <w:color w:val="451B4F"/>
          <w:sz w:val="30"/>
        </w:rPr>
        <w:t>Magpie — hosting on AWS, and the model behind it</w:t>
      </w:r>
    </w:p>
    <w:p>
      <w:pPr>
        <w:spacing w:after="140" w:before="0"/>
      </w:pPr>
      <w:r>
        <w:rPr>
          <w:b w:val="0"/>
          <w:i w:val="0"/>
          <w:color w:val="5A5A5A"/>
          <w:sz w:val="16"/>
        </w:rPr>
        <w:t>A note for the cloud and AI teams · 5 August 2026</w:t>
      </w:r>
    </w:p>
    <w:p>
      <w:pPr>
        <w:spacing w:after="40" w:before="0"/>
      </w:pPr>
      <w:r>
        <w:rPr>
          <w:b/>
          <w:i w:val="0"/>
          <w:color w:val="712D85"/>
          <w:sz w:val="21"/>
        </w:rPr>
        <w:t>The short answers</w:t>
      </w:r>
    </w:p>
    <w:p>
      <w:pPr>
        <w:pStyle w:val="ListBullet"/>
        <w:spacing w:after="40" w:line="250" w:lineRule="auto"/>
        <w:ind w:left="283"/>
      </w:pPr>
      <w:r>
        <w:rPr>
          <w:b/>
          <w:color w:val="1A1A1A"/>
          <w:sz w:val="18"/>
        </w:rPr>
        <w:t xml:space="preserve">Hosting on AWS — yes, no change to the application. </w:t>
      </w:r>
      <w:r>
        <w:rPr>
          <w:b w:val="0"/>
          <w:color w:val="1A1A1A"/>
          <w:sz w:val="18"/>
        </w:rPr>
        <w:t>Magpie is a container plus a Postgres database, built to no particular cloud. About a day to redo the deployment guide and prove it.</w:t>
      </w:r>
    </w:p>
    <w:p>
      <w:pPr>
        <w:pStyle w:val="ListBullet"/>
        <w:spacing w:after="40" w:line="250" w:lineRule="auto"/>
        <w:ind w:left="283"/>
      </w:pPr>
      <w:r>
        <w:rPr>
          <w:b/>
          <w:color w:val="1A1A1A"/>
          <w:sz w:val="18"/>
        </w:rPr>
        <w:t xml:space="preserve">Gemini as the model — possible, but not a settings change. </w:t>
      </w:r>
      <w:r>
        <w:rPr>
          <w:b w:val="0"/>
          <w:color w:val="1A1A1A"/>
          <w:sz w:val="18"/>
        </w:rPr>
        <w:t>A re-integration, and a re-run of the quality gate the tool was signed off against. Weeks, not days.</w:t>
      </w:r>
    </w:p>
    <w:p>
      <w:pPr>
        <w:pStyle w:val="ListBullet"/>
        <w:spacing w:after="100" w:line="250" w:lineRule="auto"/>
        <w:ind w:left="283"/>
      </w:pPr>
      <w:r>
        <w:rPr>
          <w:b/>
          <w:color w:val="1A1A1A"/>
          <w:sz w:val="18"/>
        </w:rPr>
        <w:t xml:space="preserve">Cost is not the deciding factor. </w:t>
      </w:r>
      <w:r>
        <w:rPr>
          <w:b w:val="0"/>
          <w:color w:val="1A1A1A"/>
          <w:sz w:val="18"/>
        </w:rPr>
        <w:t>Across a realistic pilot the difference between every option below is under £500. See the figures.</w:t>
      </w:r>
    </w:p>
    <w:p>
      <w:pPr>
        <w:spacing w:after="40" w:before="160"/>
      </w:pPr>
      <w:r>
        <w:rPr>
          <w:b/>
          <w:i w:val="0"/>
          <w:color w:val="712D85"/>
          <w:sz w:val="21"/>
        </w:rPr>
        <w:t>Why the model is not a like-for-like swap</w:t>
      </w:r>
    </w:p>
    <w:p>
      <w:pPr>
        <w:spacing w:after="60" w:before="0"/>
      </w:pPr>
      <w:r>
        <w:rPr>
          <w:b w:val="0"/>
          <w:i w:val="0"/>
          <w:color w:val="1A1A1A"/>
          <w:sz w:val="18"/>
        </w:rPr>
        <w:t>Magpie does not ask a model to write a document. The model proposes; the server decides. Every fact an interviewee gives is captured through a strictly-typed tool call our code validates before storing — that is what makes each statement attributable to a named person and stops the tool inventing process detail.</w:t>
      </w:r>
    </w:p>
    <w:p>
      <w:pPr>
        <w:spacing w:after="100" w:before="0"/>
      </w:pPr>
      <w:r>
        <w:rPr>
          <w:b w:val="0"/>
          <w:i w:val="0"/>
          <w:color w:val="1A1A1A"/>
          <w:sz w:val="18"/>
        </w:rPr>
        <w:t>Gemini supports the same style of function calling, so this can be rebuilt. But the wording that elicits good answers, and the automated gate that proves the tool behaves — three clean runs against three interviewee personas — were tuned against the current model. Changing model means re-passing that gate. Until it passes we have no evidence the specifications coming out are trustworthy.</w:t>
      </w:r>
    </w:p>
    <w:p>
      <w:pPr>
        <w:spacing w:after="40" w:before="160"/>
      </w:pPr>
      <w:r>
        <w:rPr>
          <w:b/>
          <w:i w:val="0"/>
          <w:color w:val="712D85"/>
          <w:sz w:val="21"/>
        </w:rPr>
        <w:t>What it costs to run</w:t>
      </w:r>
    </w:p>
    <w:p>
      <w:pPr>
        <w:spacing w:after="60" w:before="0"/>
      </w:pPr>
      <w:r>
        <w:rPr>
          <w:b w:val="0"/>
          <w:i w:val="0"/>
          <w:color w:val="1A1A1A"/>
          <w:sz w:val="18"/>
        </w:rPr>
        <w:t>Measured, not estimated: one complete interview through Magpie used 913,000 input and 18,000 output tokens. Input dominates because the interview is a conversation — each turn re-sends the transcript so far.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4762"/>
            <w:shd w:val="clear" w:fill="712D85"/>
          </w:tcPr>
          <w:p>
            <w:pPr>
              <w:spacing w:after="30" w:before="30" w:line="240" w:lineRule="auto"/>
            </w:pPr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474"/>
            <w:shd w:val="clear" w:fill="712D85"/>
          </w:tcPr>
          <w:p>
            <w:pPr>
              <w:spacing w:after="30" w:before="30" w:line="240" w:lineRule="auto"/>
            </w:pPr>
            <w:r>
              <w:rPr>
                <w:b/>
                <w:color w:val="FFFFFF"/>
                <w:sz w:val="16"/>
              </w:rPr>
              <w:t>Per interview</w:t>
            </w:r>
          </w:p>
        </w:tc>
        <w:tc>
          <w:tcPr>
            <w:tcW w:type="dxa" w:w="1644"/>
            <w:shd w:val="clear" w:fill="712D85"/>
          </w:tcPr>
          <w:p>
            <w:pPr>
              <w:spacing w:after="30" w:before="30" w:line="240" w:lineRule="auto"/>
            </w:pPr>
            <w:r>
              <w:rPr>
                <w:b/>
                <w:color w:val="FFFFFF"/>
                <w:sz w:val="16"/>
              </w:rPr>
              <w:t>50 interviews</w:t>
            </w:r>
          </w:p>
        </w:tc>
        <w:tc>
          <w:tcPr>
            <w:tcW w:type="dxa" w:w="1814"/>
            <w:shd w:val="clear" w:fill="712D85"/>
          </w:tcPr>
          <w:p>
            <w:pPr>
              <w:spacing w:after="30" w:before="30" w:line="240" w:lineRule="auto"/>
            </w:pPr>
            <w:r>
              <w:rPr>
                <w:b/>
                <w:color w:val="FFFFFF"/>
                <w:sz w:val="16"/>
              </w:rPr>
              <w:t>200 interviews</w:t>
            </w:r>
          </w:p>
        </w:tc>
      </w:tr>
      <w:tr>
        <w:tc>
          <w:tcPr>
            <w:tcW w:type="dxa" w:w="4762"/>
            <w:shd w:val="clear" w:fill="FFFFFF"/>
          </w:tcPr>
          <w:p>
            <w:pPr>
              <w:spacing w:after="30" w:before="30" w:line="240" w:lineRule="auto"/>
            </w:pPr>
            <w:r>
              <w:rPr>
                <w:b/>
                <w:color w:val="1A1A1A"/>
                <w:sz w:val="16"/>
              </w:rPr>
              <w:t>Claude Sonnet 4.6 — Bedrock, list</w:t>
            </w:r>
          </w:p>
        </w:tc>
        <w:tc>
          <w:tcPr>
            <w:tcW w:type="dxa" w:w="1474"/>
            <w:shd w:val="clear" w:fill="FFFFFF"/>
          </w:tcPr>
          <w:p>
            <w:pPr>
              <w:spacing w:after="30" w:before="30" w:line="240" w:lineRule="auto"/>
            </w:pPr>
            <w:r>
              <w:rPr>
                <w:color w:val="1A1A1A"/>
                <w:sz w:val="16"/>
              </w:rPr>
              <w:t>£2.37</w:t>
            </w:r>
          </w:p>
        </w:tc>
        <w:tc>
          <w:tcPr>
            <w:tcW w:type="dxa" w:w="1644"/>
            <w:shd w:val="clear" w:fill="FFFFFF"/>
          </w:tcPr>
          <w:p>
            <w:pPr>
              <w:spacing w:after="30" w:before="30" w:line="240" w:lineRule="auto"/>
            </w:pPr>
            <w:r>
              <w:rPr>
                <w:color w:val="1A1A1A"/>
                <w:sz w:val="16"/>
              </w:rPr>
              <w:t>£119</w:t>
            </w:r>
          </w:p>
        </w:tc>
        <w:tc>
          <w:tcPr>
            <w:tcW w:type="dxa" w:w="1814"/>
            <w:shd w:val="clear" w:fill="FFFFFF"/>
          </w:tcPr>
          <w:p>
            <w:pPr>
              <w:spacing w:after="30" w:before="30" w:line="240" w:lineRule="auto"/>
            </w:pPr>
            <w:r>
              <w:rPr>
                <w:color w:val="1A1A1A"/>
                <w:sz w:val="16"/>
              </w:rPr>
              <w:t>£475</w:t>
            </w:r>
          </w:p>
        </w:tc>
      </w:tr>
      <w:tr>
        <w:tc>
          <w:tcPr>
            <w:tcW w:type="dxa" w:w="4762"/>
            <w:shd w:val="clear" w:fill="F5F0F7"/>
          </w:tcPr>
          <w:p>
            <w:pPr>
              <w:spacing w:after="30" w:before="30" w:line="240" w:lineRule="auto"/>
            </w:pPr>
            <w:r>
              <w:rPr>
                <w:b/>
                <w:color w:val="1A1A1A"/>
                <w:sz w:val="16"/>
              </w:rPr>
              <w:t>Claude Sonnet 4.6 — Bedrock, with prompt caching</w:t>
            </w:r>
          </w:p>
        </w:tc>
        <w:tc>
          <w:tcPr>
            <w:tcW w:type="dxa" w:w="1474"/>
            <w:shd w:val="clear" w:fill="F5F0F7"/>
          </w:tcPr>
          <w:p>
            <w:pPr>
              <w:spacing w:after="30" w:before="30" w:line="240" w:lineRule="auto"/>
            </w:pPr>
            <w:r>
              <w:rPr>
                <w:color w:val="1A1A1A"/>
                <w:sz w:val="16"/>
              </w:rPr>
              <w:t>£0.82</w:t>
            </w:r>
          </w:p>
        </w:tc>
        <w:tc>
          <w:tcPr>
            <w:tcW w:type="dxa" w:w="1644"/>
            <w:shd w:val="clear" w:fill="F5F0F7"/>
          </w:tcPr>
          <w:p>
            <w:pPr>
              <w:spacing w:after="30" w:before="30" w:line="240" w:lineRule="auto"/>
            </w:pPr>
            <w:r>
              <w:rPr>
                <w:color w:val="1A1A1A"/>
                <w:sz w:val="16"/>
              </w:rPr>
              <w:t>£41</w:t>
            </w:r>
          </w:p>
        </w:tc>
        <w:tc>
          <w:tcPr>
            <w:tcW w:type="dxa" w:w="1814"/>
            <w:shd w:val="clear" w:fill="F5F0F7"/>
          </w:tcPr>
          <w:p>
            <w:pPr>
              <w:spacing w:after="30" w:before="30" w:line="240" w:lineRule="auto"/>
            </w:pPr>
            <w:r>
              <w:rPr>
                <w:color w:val="1A1A1A"/>
                <w:sz w:val="16"/>
              </w:rPr>
              <w:t>£164</w:t>
            </w:r>
          </w:p>
        </w:tc>
      </w:tr>
      <w:tr>
        <w:tc>
          <w:tcPr>
            <w:tcW w:type="dxa" w:w="4762"/>
            <w:shd w:val="clear" w:fill="FFFFFF"/>
          </w:tcPr>
          <w:p>
            <w:pPr>
              <w:spacing w:after="30" w:before="30" w:line="240" w:lineRule="auto"/>
            </w:pPr>
            <w:r>
              <w:rPr>
                <w:b/>
                <w:color w:val="1A1A1A"/>
                <w:sz w:val="16"/>
              </w:rPr>
              <w:t>Gemini 3 Pro — list</w:t>
            </w:r>
          </w:p>
        </w:tc>
        <w:tc>
          <w:tcPr>
            <w:tcW w:type="dxa" w:w="1474"/>
            <w:shd w:val="clear" w:fill="FFFFFF"/>
          </w:tcPr>
          <w:p>
            <w:pPr>
              <w:spacing w:after="30" w:before="30" w:line="240" w:lineRule="auto"/>
            </w:pPr>
            <w:r>
              <w:rPr>
                <w:color w:val="1A1A1A"/>
                <w:sz w:val="16"/>
              </w:rPr>
              <w:t>£1.61</w:t>
            </w:r>
          </w:p>
        </w:tc>
        <w:tc>
          <w:tcPr>
            <w:tcW w:type="dxa" w:w="1644"/>
            <w:shd w:val="clear" w:fill="FFFFFF"/>
          </w:tcPr>
          <w:p>
            <w:pPr>
              <w:spacing w:after="30" w:before="30" w:line="240" w:lineRule="auto"/>
            </w:pPr>
            <w:r>
              <w:rPr>
                <w:color w:val="1A1A1A"/>
                <w:sz w:val="16"/>
              </w:rPr>
              <w:t>£81</w:t>
            </w:r>
          </w:p>
        </w:tc>
        <w:tc>
          <w:tcPr>
            <w:tcW w:type="dxa" w:w="1814"/>
            <w:shd w:val="clear" w:fill="FFFFFF"/>
          </w:tcPr>
          <w:p>
            <w:pPr>
              <w:spacing w:after="30" w:before="30" w:line="240" w:lineRule="auto"/>
            </w:pPr>
            <w:r>
              <w:rPr>
                <w:color w:val="1A1A1A"/>
                <w:sz w:val="16"/>
              </w:rPr>
              <w:t>£322</w:t>
            </w:r>
          </w:p>
        </w:tc>
      </w:tr>
      <w:tr>
        <w:tc>
          <w:tcPr>
            <w:tcW w:type="dxa" w:w="4762"/>
            <w:shd w:val="clear" w:fill="FFFFFF"/>
          </w:tcPr>
          <w:p>
            <w:pPr>
              <w:spacing w:after="30" w:before="30" w:line="240" w:lineRule="auto"/>
            </w:pPr>
            <w:r>
              <w:rPr>
                <w:b/>
                <w:color w:val="1A1A1A"/>
                <w:sz w:val="16"/>
              </w:rPr>
              <w:t>Gemini 2.5 Flash — cheapest, weakest at tool use</w:t>
            </w:r>
          </w:p>
        </w:tc>
        <w:tc>
          <w:tcPr>
            <w:tcW w:type="dxa" w:w="1474"/>
            <w:shd w:val="clear" w:fill="FFFFFF"/>
          </w:tcPr>
          <w:p>
            <w:pPr>
              <w:spacing w:after="30" w:before="30" w:line="240" w:lineRule="auto"/>
            </w:pPr>
            <w:r>
              <w:rPr>
                <w:color w:val="1A1A1A"/>
                <w:sz w:val="16"/>
              </w:rPr>
              <w:t>£0.25</w:t>
            </w:r>
          </w:p>
        </w:tc>
        <w:tc>
          <w:tcPr>
            <w:tcW w:type="dxa" w:w="1644"/>
            <w:shd w:val="clear" w:fill="FFFFFF"/>
          </w:tcPr>
          <w:p>
            <w:pPr>
              <w:spacing w:after="30" w:before="30" w:line="240" w:lineRule="auto"/>
            </w:pPr>
            <w:r>
              <w:rPr>
                <w:color w:val="1A1A1A"/>
                <w:sz w:val="16"/>
              </w:rPr>
              <w:t>£13</w:t>
            </w:r>
          </w:p>
        </w:tc>
        <w:tc>
          <w:tcPr>
            <w:tcW w:type="dxa" w:w="1814"/>
            <w:shd w:val="clear" w:fill="FFFFFF"/>
          </w:tcPr>
          <w:p>
            <w:pPr>
              <w:spacing w:after="30" w:before="30" w:line="240" w:lineRule="auto"/>
            </w:pPr>
            <w:r>
              <w:rPr>
                <w:color w:val="1A1A1A"/>
                <w:sz w:val="16"/>
              </w:rPr>
              <w:t>£50</w:t>
            </w:r>
          </w:p>
        </w:tc>
      </w:tr>
    </w:tbl>
    <w:p>
      <w:pPr>
        <w:spacing w:after="60" w:before="0"/>
      </w:pPr>
      <w:r>
        <w:rPr>
          <w:b w:val="0"/>
          <w:i w:val="0"/>
          <w:color w:val="5A5A5A"/>
          <w:sz w:val="16"/>
        </w:rPr>
        <w:t>List prices, August 2026, converted at $1.27/£. Caching is the significant line: re-sending the transcript every turn is exactly what it is designed for, and it makes Claude cheaper than Gemini at list. Both vendors offer it; neither figure above is a ceiling.</w:t>
      </w:r>
    </w:p>
    <w:p>
      <w:pPr>
        <w:spacing w:after="100" w:before="0"/>
      </w:pPr>
      <w:r>
        <w:rPr>
          <w:b/>
          <w:i w:val="0"/>
          <w:color w:val="1A1A1A"/>
          <w:sz w:val="18"/>
        </w:rPr>
        <w:t>The conclusion is that a full 200-interview pilot costs between £50 and £475 in model usage whichever way we go. Two days of engineering costs more than the entire spread. Choose on governance and risk, not price.</w:t>
      </w:r>
    </w:p>
    <w:p>
      <w:pPr>
        <w:spacing w:after="40" w:before="160"/>
      </w:pPr>
      <w:r>
        <w:rPr>
          <w:b/>
          <w:i w:val="0"/>
          <w:color w:val="712D85"/>
          <w:sz w:val="21"/>
        </w:rPr>
        <w:t>The three options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381"/>
            <w:shd w:val="clear" w:fill="712D85"/>
          </w:tcPr>
          <w:p>
            <w:pPr>
              <w:spacing w:after="30" w:before="30" w:line="240" w:lineRule="auto"/>
            </w:pPr>
            <w:r>
              <w:rPr>
                <w:b/>
                <w:color w:val="FFFFFF"/>
                <w:sz w:val="16"/>
              </w:rPr>
              <w:t>Option</w:t>
            </w:r>
          </w:p>
        </w:tc>
        <w:tc>
          <w:tcPr>
            <w:tcW w:type="dxa" w:w="3061"/>
            <w:shd w:val="clear" w:fill="712D85"/>
          </w:tcPr>
          <w:p>
            <w:pPr>
              <w:spacing w:after="30" w:before="30" w:line="240" w:lineRule="auto"/>
            </w:pPr>
            <w:r>
              <w:rPr>
                <w:b/>
                <w:color w:val="FFFFFF"/>
                <w:sz w:val="16"/>
              </w:rPr>
              <w:t>Satisfies</w:t>
            </w:r>
          </w:p>
        </w:tc>
        <w:tc>
          <w:tcPr>
            <w:tcW w:type="dxa" w:w="1020"/>
            <w:shd w:val="clear" w:fill="712D85"/>
          </w:tcPr>
          <w:p>
            <w:pPr>
              <w:spacing w:after="30" w:before="30" w:line="240" w:lineRule="auto"/>
            </w:pPr>
            <w:r>
              <w:rPr>
                <w:b/>
                <w:color w:val="FFFFFF"/>
                <w:sz w:val="16"/>
              </w:rPr>
              <w:t>Effort</w:t>
            </w:r>
          </w:p>
        </w:tc>
        <w:tc>
          <w:tcPr>
            <w:tcW w:type="dxa" w:w="3231"/>
            <w:shd w:val="clear" w:fill="712D85"/>
          </w:tcPr>
          <w:p>
            <w:pPr>
              <w:spacing w:after="30" w:before="30" w:line="240" w:lineRule="auto"/>
            </w:pPr>
            <w:r>
              <w:rPr>
                <w:b/>
                <w:color w:val="FFFFFF"/>
                <w:sz w:val="16"/>
              </w:rPr>
              <w:t>Risk</w:t>
            </w:r>
          </w:p>
        </w:tc>
      </w:tr>
      <w:tr>
        <w:tc>
          <w:tcPr>
            <w:tcW w:type="dxa" w:w="2381"/>
            <w:shd w:val="clear" w:fill="F5F0F7"/>
          </w:tcPr>
          <w:p>
            <w:pPr>
              <w:spacing w:after="30" w:before="30" w:line="240" w:lineRule="auto"/>
            </w:pPr>
            <w:r>
              <w:rPr>
                <w:b/>
                <w:color w:val="1A1A1A"/>
                <w:sz w:val="16"/>
              </w:rPr>
              <w:t>Claude on AWS Bedrock  (recommended)</w:t>
            </w:r>
          </w:p>
        </w:tc>
        <w:tc>
          <w:tcPr>
            <w:tcW w:type="dxa" w:w="3061"/>
            <w:shd w:val="clear" w:fill="F5F0F7"/>
          </w:tcPr>
          <w:p>
            <w:pPr>
              <w:spacing w:after="30" w:before="30" w:line="240" w:lineRule="auto"/>
            </w:pPr>
            <w:r>
              <w:rPr>
                <w:color w:val="1A1A1A"/>
                <w:sz w:val="16"/>
              </w:rPr>
              <w:t>Cloud team — fully AWS. AI team — no third-party API key exists to govern.</w:t>
            </w:r>
          </w:p>
        </w:tc>
        <w:tc>
          <w:tcPr>
            <w:tcW w:type="dxa" w:w="1020"/>
            <w:shd w:val="clear" w:fill="F5F0F7"/>
          </w:tcPr>
          <w:p>
            <w:pPr>
              <w:spacing w:after="30" w:before="30" w:line="240" w:lineRule="auto"/>
            </w:pPr>
            <w:r>
              <w:rPr>
                <w:color w:val="1A1A1A"/>
                <w:sz w:val="16"/>
              </w:rPr>
              <w:t>~1–2 days</w:t>
            </w:r>
          </w:p>
        </w:tc>
        <w:tc>
          <w:tcPr>
            <w:tcW w:type="dxa" w:w="3231"/>
            <w:shd w:val="clear" w:fill="F5F0F7"/>
          </w:tcPr>
          <w:p>
            <w:pPr>
              <w:spacing w:after="30" w:before="30" w:line="240" w:lineRule="auto"/>
            </w:pPr>
            <w:r>
              <w:rPr>
                <w:color w:val="1A1A1A"/>
                <w:sz w:val="16"/>
              </w:rPr>
              <w:t>Low. Same model, same gate, already passed.</w:t>
            </w:r>
          </w:p>
        </w:tc>
      </w:tr>
      <w:tr>
        <w:tc>
          <w:tcPr>
            <w:tcW w:type="dxa" w:w="2381"/>
            <w:shd w:val="clear" w:fill="FFFFFF"/>
          </w:tcPr>
          <w:p>
            <w:pPr>
              <w:spacing w:after="30" w:before="30" w:line="240" w:lineRule="auto"/>
            </w:pPr>
            <w:r>
              <w:rPr>
                <w:b/>
                <w:color w:val="1A1A1A"/>
                <w:sz w:val="16"/>
              </w:rPr>
              <w:t>Gemini, app hosted on AWS</w:t>
            </w:r>
          </w:p>
        </w:tc>
        <w:tc>
          <w:tcPr>
            <w:tcW w:type="dxa" w:w="3061"/>
            <w:shd w:val="clear" w:fill="FFFFFF"/>
          </w:tcPr>
          <w:p>
            <w:pPr>
              <w:spacing w:after="30" w:before="30" w:line="240" w:lineRule="auto"/>
            </w:pPr>
            <w:r>
              <w:rPr>
                <w:color w:val="1A1A1A"/>
                <w:sz w:val="16"/>
              </w:rPr>
              <w:t>AI team's stated preference. Cloud team — AWS hosting.</w:t>
            </w:r>
          </w:p>
        </w:tc>
        <w:tc>
          <w:tcPr>
            <w:tcW w:type="dxa" w:w="1020"/>
            <w:shd w:val="clear" w:fill="FFFFFF"/>
          </w:tcPr>
          <w:p>
            <w:pPr>
              <w:spacing w:after="30" w:before="30" w:line="240" w:lineRule="auto"/>
            </w:pPr>
            <w:r>
              <w:rPr>
                <w:color w:val="1A1A1A"/>
                <w:sz w:val="16"/>
              </w:rPr>
              <w:t>Weeks</w:t>
            </w:r>
          </w:p>
        </w:tc>
        <w:tc>
          <w:tcPr>
            <w:tcW w:type="dxa" w:w="3231"/>
            <w:shd w:val="clear" w:fill="FFFFFF"/>
          </w:tcPr>
          <w:p>
            <w:pPr>
              <w:spacing w:after="30" w:before="30" w:line="240" w:lineRule="auto"/>
            </w:pPr>
            <w:r>
              <w:rPr>
                <w:color w:val="1A1A1A"/>
                <w:sz w:val="16"/>
              </w:rPr>
              <w:t>High. Gate re-passed from scratch. Interview data leaves AWS to Google every turn.</w:t>
            </w:r>
          </w:p>
        </w:tc>
      </w:tr>
      <w:tr>
        <w:tc>
          <w:tcPr>
            <w:tcW w:type="dxa" w:w="2381"/>
            <w:shd w:val="clear" w:fill="FFFFFF"/>
          </w:tcPr>
          <w:p>
            <w:pPr>
              <w:spacing w:after="30" w:before="30" w:line="240" w:lineRule="auto"/>
            </w:pPr>
            <w:r>
              <w:rPr>
                <w:b/>
                <w:color w:val="1A1A1A"/>
                <w:sz w:val="16"/>
              </w:rPr>
              <w:t>Claude API direct, app on AWS</w:t>
            </w:r>
          </w:p>
        </w:tc>
        <w:tc>
          <w:tcPr>
            <w:tcW w:type="dxa" w:w="3061"/>
            <w:shd w:val="clear" w:fill="FFFFFF"/>
          </w:tcPr>
          <w:p>
            <w:pPr>
              <w:spacing w:after="30" w:before="30" w:line="240" w:lineRule="auto"/>
            </w:pPr>
            <w:r>
              <w:rPr>
                <w:color w:val="1A1A1A"/>
                <w:sz w:val="16"/>
              </w:rPr>
              <w:t>Cloud team only.</w:t>
            </w:r>
          </w:p>
        </w:tc>
        <w:tc>
          <w:tcPr>
            <w:tcW w:type="dxa" w:w="1020"/>
            <w:shd w:val="clear" w:fill="FFFFFF"/>
          </w:tcPr>
          <w:p>
            <w:pPr>
              <w:spacing w:after="30" w:before="30" w:line="240" w:lineRule="auto"/>
            </w:pPr>
            <w:r>
              <w:rPr>
                <w:color w:val="1A1A1A"/>
                <w:sz w:val="16"/>
              </w:rPr>
              <w:t>~1 day</w:t>
            </w:r>
          </w:p>
        </w:tc>
        <w:tc>
          <w:tcPr>
            <w:tcW w:type="dxa" w:w="3231"/>
            <w:shd w:val="clear" w:fill="FFFFFF"/>
          </w:tcPr>
          <w:p>
            <w:pPr>
              <w:spacing w:after="30" w:before="30" w:line="240" w:lineRule="auto"/>
            </w:pPr>
            <w:r>
              <w:rPr>
                <w:color w:val="1A1A1A"/>
                <w:sz w:val="16"/>
              </w:rPr>
              <w:t>Medium. Needs a third-party API key the AI policy may not permit.</w:t>
            </w:r>
          </w:p>
        </w:tc>
      </w:tr>
    </w:tbl>
    <w:p>
      <w:pPr>
        <w:spacing w:after="80" w:before="0"/>
      </w:pPr>
    </w:p>
    <w:p>
      <w:pPr>
        <w:spacing w:after="40" w:before="160"/>
      </w:pPr>
      <w:r>
        <w:rPr>
          <w:b/>
          <w:i w:val="0"/>
          <w:color w:val="712D85"/>
          <w:sz w:val="21"/>
        </w:rPr>
        <w:t>What we recommend — Claude on Amazon Bedrock</w:t>
      </w:r>
    </w:p>
    <w:p>
      <w:pPr>
        <w:pStyle w:val="ListBullet"/>
        <w:spacing w:after="40" w:line="250" w:lineRule="auto"/>
        <w:ind w:left="283"/>
      </w:pPr>
      <w:r>
        <w:rPr>
          <w:b/>
          <w:color w:val="1A1A1A"/>
          <w:sz w:val="18"/>
        </w:rPr>
        <w:t xml:space="preserve">It is AWS. </w:t>
      </w:r>
      <w:r>
        <w:rPr>
          <w:b w:val="0"/>
          <w:color w:val="1A1A1A"/>
          <w:sz w:val="18"/>
        </w:rPr>
        <w:t>Bedrock is an AWS service in our own account, billed through AWS. The cloud team's constraint is met exactly, not worked around.</w:t>
      </w:r>
    </w:p>
    <w:p>
      <w:pPr>
        <w:pStyle w:val="ListBullet"/>
        <w:spacing w:after="40" w:line="250" w:lineRule="auto"/>
        <w:ind w:left="283"/>
      </w:pPr>
      <w:r>
        <w:rPr>
          <w:b/>
          <w:color w:val="1A1A1A"/>
          <w:sz w:val="18"/>
        </w:rPr>
        <w:t xml:space="preserve">It removes the API-key problem rather than answering it. </w:t>
      </w:r>
      <w:r>
        <w:rPr>
          <w:b w:val="0"/>
          <w:color w:val="1A1A1A"/>
          <w:sz w:val="18"/>
        </w:rPr>
        <w:t>No third-party key to issue, rotate or govern — access is IAM, like any other AWS service. For a team writing AI policy that is a stronger position than holding a vendor key.</w:t>
      </w:r>
    </w:p>
    <w:p>
      <w:pPr>
        <w:pStyle w:val="ListBullet"/>
        <w:spacing w:after="40" w:line="250" w:lineRule="auto"/>
        <w:ind w:left="283"/>
      </w:pPr>
      <w:r>
        <w:rPr>
          <w:b/>
          <w:color w:val="1A1A1A"/>
          <w:sz w:val="18"/>
        </w:rPr>
        <w:t xml:space="preserve">Interview content stays inside AWS. </w:t>
      </w:r>
      <w:r>
        <w:rPr>
          <w:b w:val="0"/>
          <w:color w:val="1A1A1A"/>
          <w:sz w:val="18"/>
        </w:rPr>
        <w:t>Under the Gemini option every interview turn leaves AWS for Google's API — the harder thing to put in a policy, not the easier one, and the only option that splits us across two clouds.</w:t>
      </w:r>
    </w:p>
    <w:p>
      <w:pPr>
        <w:pStyle w:val="ListBullet"/>
        <w:spacing w:after="100" w:line="250" w:lineRule="auto"/>
        <w:ind w:left="283"/>
      </w:pPr>
      <w:r>
        <w:rPr>
          <w:b/>
          <w:color w:val="1A1A1A"/>
          <w:sz w:val="18"/>
        </w:rPr>
        <w:t xml:space="preserve">Nothing is re-proven. </w:t>
      </w:r>
      <w:r>
        <w:rPr>
          <w:b w:val="0"/>
          <w:color w:val="1A1A1A"/>
          <w:sz w:val="18"/>
        </w:rPr>
        <w:t>Same model, so the quality gate still holds. We re-run it once to confirm rather than rebuilding it.</w:t>
      </w:r>
    </w:p>
    <w:p>
      <w:pPr>
        <w:spacing w:after="40" w:before="160"/>
      </w:pPr>
      <w:r>
        <w:rPr>
          <w:b/>
          <w:i w:val="0"/>
          <w:color w:val="712D85"/>
          <w:sz w:val="21"/>
        </w:rPr>
        <w:t>The case for Gemini, stated fairly</w:t>
      </w:r>
    </w:p>
    <w:p>
      <w:pPr>
        <w:spacing w:after="100" w:before="0"/>
      </w:pPr>
      <w:r>
        <w:rPr>
          <w:b w:val="0"/>
          <w:i w:val="0"/>
          <w:color w:val="1A1A1A"/>
          <w:sz w:val="18"/>
        </w:rPr>
        <w:t>If the organisation has a Google enterprise agreement, a standard that says Gemini, or commercial terms that beat Bedrock, those are legitimate reasons and this becomes a business decision rather than a technical one. Gemini is a capable model and the tool can be rebuilt on it. The cost is time and re-proving quality, not feasibility. One caution: Gemini 2.5 retires in October 2026, so a key issued for that generation carries a forced migration within months.</w:t>
      </w:r>
    </w:p>
    <w:p>
      <w:pPr>
        <w:spacing w:after="40" w:before="160"/>
      </w:pPr>
      <w:r>
        <w:rPr>
          <w:b/>
          <w:i w:val="0"/>
          <w:color w:val="712D85"/>
          <w:sz w:val="21"/>
        </w:rPr>
        <w:t>What we need to know</w:t>
      </w:r>
    </w:p>
    <w:p>
      <w:pPr>
        <w:pStyle w:val="ListBullet"/>
        <w:spacing w:after="40" w:line="250" w:lineRule="auto"/>
        <w:ind w:left="283"/>
      </w:pPr>
      <w:r>
        <w:rPr>
          <w:b w:val="0"/>
          <w:color w:val="1A1A1A"/>
          <w:sz w:val="18"/>
        </w:rPr>
        <w:t>Is Bedrock available in our AWS account, and can Claude model access be enabled?</w:t>
      </w:r>
    </w:p>
    <w:p>
      <w:pPr>
        <w:pStyle w:val="ListBullet"/>
        <w:spacing w:after="40" w:line="250" w:lineRule="auto"/>
        <w:ind w:left="283"/>
      </w:pPr>
      <w:r>
        <w:rPr>
          <w:b w:val="0"/>
          <w:color w:val="1A1A1A"/>
          <w:sz w:val="18"/>
        </w:rPr>
        <w:t>Is the AI team's position “Gemini specifically”, or “no third-party API keys”? If it is the second, Bedrock already satisfies it.</w:t>
      </w:r>
    </w:p>
    <w:p>
      <w:pPr>
        <w:pStyle w:val="ListBullet"/>
        <w:spacing w:after="140" w:line="250" w:lineRule="auto"/>
        <w:ind w:left="283"/>
      </w:pPr>
      <w:r>
        <w:rPr>
          <w:b w:val="0"/>
          <w:color w:val="1A1A1A"/>
          <w:sz w:val="18"/>
        </w:rPr>
        <w:t>If Gemini is firm, confirm before the AWS deployment work starts, so it is done once.</w:t>
      </w:r>
    </w:p>
    <w:p>
      <w:pPr>
        <w:spacing w:after="0" w:before="0"/>
      </w:pPr>
      <w:r>
        <w:rPr>
          <w:b w:val="0"/>
          <w:i/>
          <w:color w:val="5A5A5A"/>
          <w:sz w:val="16"/>
        </w:rPr>
        <w:t>Magpie is running and demonstrated. Neither question blocks the pilot — but the model decision should be settled before we harden the deployment.</w:t>
      </w:r>
    </w:p>
    <w:sectPr w:rsidR="00FC693F" w:rsidRPr="0006063C" w:rsidSect="00034616">
      <w:pgSz w:w="12240" w:h="15840"/>
      <w:pgMar w:top="737" w:right="964" w:bottom="62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Calibri" w:hAnsi="Calibri"/>
      <w:color w:val="1A1A1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