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0"/>
      </w:pPr>
    </w:p>
    <w:p>
      <w:pPr>
        <w:spacing w:after="40" w:before="0"/>
      </w:pPr>
      <w:r>
        <w:rPr>
          <w:b/>
          <w:i w:val="0"/>
          <w:color w:val="712D85"/>
          <w:sz w:val="76"/>
        </w:rPr>
        <w:t>Magpie</w:t>
      </w:r>
    </w:p>
    <w:p>
      <w:pPr>
        <w:spacing w:after="400" w:before="0"/>
      </w:pPr>
      <w:r>
        <w:rPr>
          <w:b w:val="0"/>
          <w:i w:val="0"/>
          <w:color w:val="451B4F"/>
          <w:sz w:val="28"/>
        </w:rPr>
        <w:t>Process capture for VMO2</w:t>
      </w:r>
    </w:p>
    <w:p>
      <w:pPr>
        <w:spacing w:after="100" w:before="0"/>
      </w:pPr>
      <w:r>
        <w:rPr>
          <w:b/>
          <w:i w:val="0"/>
          <w:color w:val="1A1A1A"/>
          <w:sz w:val="40"/>
        </w:rPr>
        <w:t>Solution Design Document</w:t>
      </w:r>
    </w:p>
    <w:p>
      <w:pPr>
        <w:spacing w:after="520" w:before="0"/>
      </w:pPr>
      <w:r>
        <w:rPr>
          <w:b w:val="0"/>
          <w:i w:val="0"/>
          <w:color w:val="5A5A5A"/>
          <w:sz w:val="22"/>
        </w:rPr>
        <w:t>Version 1.0 · for design review</w:t>
      </w:r>
    </w:p>
    <w:tbl>
      <w:tblPr>
        <w:tblW w:type="auto" w:w="0"/>
        <w:jc w:val="left"/>
        <w:tblLayout w:type="fixed"/>
        <w:tblLook w:firstColumn="1" w:firstRow="1" w:lastColumn="0" w:lastRow="0" w:noHBand="0" w:noVBand="1" w:val="04A0"/>
      </w:tblPr>
      <w:tblGrid>
        <w:gridCol w:w="4986"/>
        <w:gridCol w:w="4986"/>
      </w:tblGrid>
      <w:tr>
        <w:tc>
          <w:tcPr>
            <w:tcW w:type="dxa" w:w="2041"/>
            <w:shd w:val="clear" w:fill="FFFFFF"/>
          </w:tcPr>
          <w:p>
            <w:pPr>
              <w:spacing w:after="30" w:before="30" w:line="240" w:lineRule="auto"/>
            </w:pPr>
            <w:r>
              <w:rPr>
                <w:b/>
                <w:color w:val="1A1A1A"/>
                <w:sz w:val="18"/>
              </w:rPr>
              <w:t>Document</w:t>
            </w:r>
          </w:p>
        </w:tc>
        <w:tc>
          <w:tcPr>
            <w:tcW w:type="dxa" w:w="7597"/>
            <w:shd w:val="clear" w:fill="FFFFFF"/>
          </w:tcPr>
          <w:p>
            <w:pPr>
              <w:spacing w:after="30" w:before="30" w:line="240" w:lineRule="auto"/>
            </w:pPr>
            <w:r>
              <w:rPr>
                <w:color w:val="1A1A1A"/>
                <w:sz w:val="18"/>
              </w:rPr>
              <w:t>Solution Design Document (SDD)</w:t>
            </w:r>
          </w:p>
        </w:tc>
      </w:tr>
      <w:tr>
        <w:tc>
          <w:tcPr>
            <w:tcW w:type="dxa" w:w="2041"/>
            <w:shd w:val="clear" w:fill="FFFFFF"/>
          </w:tcPr>
          <w:p>
            <w:pPr>
              <w:spacing w:after="30" w:before="30" w:line="240" w:lineRule="auto"/>
            </w:pPr>
            <w:r>
              <w:rPr>
                <w:b/>
                <w:color w:val="1A1A1A"/>
                <w:sz w:val="18"/>
              </w:rPr>
              <w:t>System</w:t>
            </w:r>
          </w:p>
        </w:tc>
        <w:tc>
          <w:tcPr>
            <w:tcW w:type="dxa" w:w="7597"/>
            <w:shd w:val="clear" w:fill="FFFFFF"/>
          </w:tcPr>
          <w:p>
            <w:pPr>
              <w:spacing w:after="30" w:before="30" w:line="240" w:lineRule="auto"/>
            </w:pPr>
            <w:r>
              <w:rPr>
                <w:color w:val="1A1A1A"/>
                <w:sz w:val="18"/>
              </w:rPr>
              <w:t>Magpie — SME process-capture tool</w:t>
            </w:r>
          </w:p>
        </w:tc>
      </w:tr>
      <w:tr>
        <w:tc>
          <w:tcPr>
            <w:tcW w:type="dxa" w:w="2041"/>
            <w:shd w:val="clear" w:fill="FFFFFF"/>
          </w:tcPr>
          <w:p>
            <w:pPr>
              <w:spacing w:after="30" w:before="30" w:line="240" w:lineRule="auto"/>
            </w:pPr>
            <w:r>
              <w:rPr>
                <w:b/>
                <w:color w:val="1A1A1A"/>
                <w:sz w:val="18"/>
              </w:rPr>
              <w:t>Version</w:t>
            </w:r>
          </w:p>
        </w:tc>
        <w:tc>
          <w:tcPr>
            <w:tcW w:type="dxa" w:w="7597"/>
            <w:shd w:val="clear" w:fill="FFFFFF"/>
          </w:tcPr>
          <w:p>
            <w:pPr>
              <w:spacing w:after="30" w:before="30" w:line="240" w:lineRule="auto"/>
            </w:pPr>
            <w:r>
              <w:rPr>
                <w:color w:val="1A1A1A"/>
                <w:sz w:val="18"/>
              </w:rPr>
              <w:t>1.0, describing the system as built on 5 August 2026</w:t>
            </w:r>
          </w:p>
        </w:tc>
      </w:tr>
      <w:tr>
        <w:tc>
          <w:tcPr>
            <w:tcW w:type="dxa" w:w="2041"/>
            <w:shd w:val="clear" w:fill="FFFFFF"/>
          </w:tcPr>
          <w:p>
            <w:pPr>
              <w:spacing w:after="30" w:before="30" w:line="240" w:lineRule="auto"/>
            </w:pPr>
            <w:r>
              <w:rPr>
                <w:b/>
                <w:color w:val="1A1A1A"/>
                <w:sz w:val="18"/>
              </w:rPr>
              <w:t>Status</w:t>
            </w:r>
          </w:p>
        </w:tc>
        <w:tc>
          <w:tcPr>
            <w:tcW w:type="dxa" w:w="7597"/>
            <w:shd w:val="clear" w:fill="FFFFFF"/>
          </w:tcPr>
          <w:p>
            <w:pPr>
              <w:spacing w:after="30" w:before="30" w:line="240" w:lineRule="auto"/>
            </w:pPr>
            <w:r>
              <w:rPr>
                <w:color w:val="1A1A1A"/>
                <w:sz w:val="18"/>
              </w:rPr>
              <w:t>For review. The system is running and demonstrated; not yet in production.</w:t>
            </w:r>
          </w:p>
        </w:tc>
      </w:tr>
      <w:tr>
        <w:tc>
          <w:tcPr>
            <w:tcW w:type="dxa" w:w="2041"/>
            <w:shd w:val="clear" w:fill="FFFFFF"/>
          </w:tcPr>
          <w:p>
            <w:pPr>
              <w:spacing w:after="30" w:before="30" w:line="240" w:lineRule="auto"/>
            </w:pPr>
            <w:r>
              <w:rPr>
                <w:b/>
                <w:color w:val="1A1A1A"/>
                <w:sz w:val="18"/>
              </w:rPr>
              <w:t>Audience</w:t>
            </w:r>
          </w:p>
        </w:tc>
        <w:tc>
          <w:tcPr>
            <w:tcW w:type="dxa" w:w="7597"/>
            <w:shd w:val="clear" w:fill="FFFFFF"/>
          </w:tcPr>
          <w:p>
            <w:pPr>
              <w:spacing w:after="30" w:before="30" w:line="240" w:lineRule="auto"/>
            </w:pPr>
            <w:r>
              <w:rPr>
                <w:color w:val="1A1A1A"/>
                <w:sz w:val="18"/>
              </w:rPr>
              <w:t>Design authority, cloud engineering, AI governance, security and data protection</w:t>
            </w:r>
          </w:p>
        </w:tc>
      </w:tr>
      <w:tr>
        <w:tc>
          <w:tcPr>
            <w:tcW w:type="dxa" w:w="2041"/>
            <w:shd w:val="clear" w:fill="FFFFFF"/>
          </w:tcPr>
          <w:p>
            <w:pPr>
              <w:spacing w:after="30" w:before="30" w:line="240" w:lineRule="auto"/>
            </w:pPr>
            <w:r>
              <w:rPr>
                <w:b/>
                <w:color w:val="1A1A1A"/>
                <w:sz w:val="18"/>
              </w:rPr>
              <w:t>Related documents</w:t>
            </w:r>
          </w:p>
        </w:tc>
        <w:tc>
          <w:tcPr>
            <w:tcW w:type="dxa" w:w="7597"/>
            <w:shd w:val="clear" w:fill="FFFFFF"/>
          </w:tcPr>
          <w:p>
            <w:pPr>
              <w:spacing w:after="30" w:before="30" w:line="240" w:lineRule="auto"/>
            </w:pPr>
            <w:r>
              <w:rPr>
                <w:color w:val="1A1A1A"/>
                <w:sz w:val="18"/>
              </w:rPr>
              <w:t>Magpie — the architecture as built (companion, illustrated)</w:t>
              <w:br/>
              <w:t>Magpie — hosting on AWS, and the model behind it (decision note)</w:t>
              <w:br/>
              <w:t>DEPLOY-GCP.md (runbook) · DECISIONS.md (70 recorded design decisions)</w:t>
            </w:r>
          </w:p>
        </w:tc>
      </w:tr>
      <w:tr>
        <w:tc>
          <w:tcPr>
            <w:tcW w:type="dxa" w:w="2041"/>
            <w:shd w:val="clear" w:fill="FFFFFF"/>
          </w:tcPr>
          <w:p>
            <w:pPr>
              <w:spacing w:after="30" w:before="30" w:line="240" w:lineRule="auto"/>
            </w:pPr>
            <w:r>
              <w:rPr>
                <w:b/>
                <w:color w:val="1A1A1A"/>
                <w:sz w:val="18"/>
              </w:rPr>
              <w:t>Author</w:t>
            </w:r>
          </w:p>
        </w:tc>
        <w:tc>
          <w:tcPr>
            <w:tcW w:type="dxa" w:w="7597"/>
            <w:shd w:val="clear" w:fill="FFFFFF"/>
          </w:tcPr>
          <w:p>
            <w:pPr>
              <w:spacing w:after="30" w:before="30" w:line="240" w:lineRule="auto"/>
            </w:pPr>
            <w:r>
              <w:rPr>
                <w:color w:val="1A1A1A"/>
                <w:sz w:val="18"/>
              </w:rPr>
              <w:t>Delivery team</w:t>
            </w:r>
          </w:p>
        </w:tc>
      </w:tr>
    </w:tbl>
    <w:p>
      <w:pPr>
        <w:spacing w:after="80" w:before="0"/>
      </w:pPr>
    </w:p>
    <w:p>
      <w:pPr>
        <w:spacing w:after="240" w:before="0"/>
      </w:pPr>
    </w:p>
    <w:p>
      <w:pPr>
        <w:spacing w:after="80" w:before="0"/>
      </w:pPr>
      <w:r>
        <w:rPr>
          <w:b/>
          <w:i w:val="0"/>
          <w:color w:val="712D85"/>
          <w:sz w:val="21"/>
        </w:rPr>
        <w:t>Contents</w:t>
      </w:r>
    </w:p>
    <w:p>
      <w:pPr>
        <w:spacing w:after="30" w:before="0"/>
        <w:ind w:left="227"/>
      </w:pPr>
      <w:r>
        <w:rPr>
          <w:b w:val="0"/>
          <w:i w:val="0"/>
          <w:color w:val="1A1A1A"/>
          <w:sz w:val="18"/>
        </w:rPr>
        <w:t>1.  Purpose, scope and audience</w:t>
      </w:r>
    </w:p>
    <w:p>
      <w:pPr>
        <w:spacing w:after="30" w:before="0"/>
        <w:ind w:left="227"/>
      </w:pPr>
      <w:r>
        <w:rPr>
          <w:b w:val="0"/>
          <w:i w:val="0"/>
          <w:color w:val="1A1A1A"/>
          <w:sz w:val="18"/>
        </w:rPr>
        <w:t>2.  Requirements this design satisfies</w:t>
      </w:r>
    </w:p>
    <w:p>
      <w:pPr>
        <w:spacing w:after="30" w:before="0"/>
        <w:ind w:left="227"/>
      </w:pPr>
      <w:r>
        <w:rPr>
          <w:b w:val="0"/>
          <w:i w:val="0"/>
          <w:color w:val="1A1A1A"/>
          <w:sz w:val="18"/>
        </w:rPr>
        <w:t>3.  Design principles and the constraints they impose</w:t>
      </w:r>
    </w:p>
    <w:p>
      <w:pPr>
        <w:spacing w:after="30" w:before="0"/>
        <w:ind w:left="227"/>
      </w:pPr>
      <w:r>
        <w:rPr>
          <w:b w:val="0"/>
          <w:i w:val="0"/>
          <w:color w:val="1A1A1A"/>
          <w:sz w:val="18"/>
        </w:rPr>
        <w:t>4.  Solution overview</w:t>
      </w:r>
    </w:p>
    <w:p>
      <w:pPr>
        <w:spacing w:after="30" w:before="0"/>
        <w:ind w:left="227"/>
      </w:pPr>
      <w:r>
        <w:rPr>
          <w:b w:val="0"/>
          <w:i w:val="0"/>
          <w:color w:val="1A1A1A"/>
          <w:sz w:val="18"/>
        </w:rPr>
        <w:t>5.  Detailed design — the interview engine</w:t>
      </w:r>
    </w:p>
    <w:p>
      <w:pPr>
        <w:spacing w:after="30" w:before="0"/>
        <w:ind w:left="227"/>
      </w:pPr>
      <w:r>
        <w:rPr>
          <w:b w:val="0"/>
          <w:i w:val="0"/>
          <w:color w:val="1A1A1A"/>
          <w:sz w:val="18"/>
        </w:rPr>
        <w:t>6.  Detailed design — coverage and completeness</w:t>
      </w:r>
    </w:p>
    <w:p>
      <w:pPr>
        <w:spacing w:after="30" w:before="0"/>
        <w:ind w:left="227"/>
      </w:pPr>
      <w:r>
        <w:rPr>
          <w:b w:val="0"/>
          <w:i w:val="0"/>
          <w:color w:val="1A1A1A"/>
          <w:sz w:val="18"/>
        </w:rPr>
        <w:t>7.  Detailed design — specification generation</w:t>
      </w:r>
    </w:p>
    <w:p>
      <w:pPr>
        <w:spacing w:after="30" w:before="0"/>
        <w:ind w:left="227"/>
      </w:pPr>
      <w:r>
        <w:rPr>
          <w:b w:val="0"/>
          <w:i w:val="0"/>
          <w:color w:val="1A1A1A"/>
          <w:sz w:val="18"/>
        </w:rPr>
        <w:t>8.  Detailed design — analysis and the verification gate</w:t>
      </w:r>
    </w:p>
    <w:p>
      <w:pPr>
        <w:spacing w:after="30" w:before="0"/>
        <w:ind w:left="227"/>
      </w:pPr>
      <w:r>
        <w:rPr>
          <w:b w:val="0"/>
          <w:i w:val="0"/>
          <w:color w:val="1A1A1A"/>
          <w:sz w:val="18"/>
        </w:rPr>
        <w:t>9.  Data design</w:t>
      </w:r>
    </w:p>
    <w:p>
      <w:pPr>
        <w:spacing w:after="30" w:before="0"/>
        <w:ind w:left="227"/>
      </w:pPr>
      <w:r>
        <w:rPr>
          <w:b w:val="0"/>
          <w:i w:val="0"/>
          <w:color w:val="1A1A1A"/>
          <w:sz w:val="18"/>
        </w:rPr>
        <w:t>10.  Interface design</w:t>
      </w:r>
    </w:p>
    <w:p>
      <w:pPr>
        <w:spacing w:after="30" w:before="0"/>
        <w:ind w:left="227"/>
      </w:pPr>
      <w:r>
        <w:rPr>
          <w:b w:val="0"/>
          <w:i w:val="0"/>
          <w:color w:val="1A1A1A"/>
          <w:sz w:val="18"/>
        </w:rPr>
        <w:t>11.  Non-functional design</w:t>
      </w:r>
    </w:p>
    <w:p>
      <w:pPr>
        <w:spacing w:after="30" w:before="0"/>
        <w:ind w:left="227"/>
      </w:pPr>
      <w:r>
        <w:rPr>
          <w:b w:val="0"/>
          <w:i w:val="0"/>
          <w:color w:val="1A1A1A"/>
          <w:sz w:val="18"/>
        </w:rPr>
        <w:t>12.  Security design</w:t>
      </w:r>
    </w:p>
    <w:p>
      <w:pPr>
        <w:spacing w:after="30" w:before="0"/>
        <w:ind w:left="227"/>
      </w:pPr>
      <w:r>
        <w:rPr>
          <w:b w:val="0"/>
          <w:i w:val="0"/>
          <w:color w:val="1A1A1A"/>
          <w:sz w:val="18"/>
        </w:rPr>
        <w:t>13.  Privacy and data protection design</w:t>
      </w:r>
    </w:p>
    <w:p>
      <w:pPr>
        <w:spacing w:after="30" w:before="0"/>
        <w:ind w:left="227"/>
      </w:pPr>
      <w:r>
        <w:rPr>
          <w:b w:val="0"/>
          <w:i w:val="0"/>
          <w:color w:val="1A1A1A"/>
          <w:sz w:val="18"/>
        </w:rPr>
        <w:t>14.  Deployment and environments</w:t>
      </w:r>
    </w:p>
    <w:p>
      <w:pPr>
        <w:spacing w:after="30" w:before="0"/>
        <w:ind w:left="227"/>
      </w:pPr>
      <w:r>
        <w:rPr>
          <w:b w:val="0"/>
          <w:i w:val="0"/>
          <w:color w:val="1A1A1A"/>
          <w:sz w:val="18"/>
        </w:rPr>
        <w:t>15.  Test strategy and evidence</w:t>
      </w:r>
    </w:p>
    <w:p>
      <w:pPr>
        <w:spacing w:after="30" w:before="0"/>
        <w:ind w:left="227"/>
      </w:pPr>
      <w:r>
        <w:rPr>
          <w:b w:val="0"/>
          <w:i w:val="0"/>
          <w:color w:val="1A1A1A"/>
          <w:sz w:val="18"/>
        </w:rPr>
        <w:t>16.  Design decisions and alternatives considered</w:t>
      </w:r>
    </w:p>
    <w:p>
      <w:pPr>
        <w:spacing w:after="30" w:before="0"/>
        <w:ind w:left="227"/>
      </w:pPr>
      <w:r>
        <w:rPr>
          <w:b w:val="0"/>
          <w:i w:val="0"/>
          <w:color w:val="1A1A1A"/>
          <w:sz w:val="18"/>
        </w:rPr>
        <w:t>17.  Risks, assumptions, issues and dependencies</w:t>
      </w:r>
    </w:p>
    <w:p>
      <w:pPr>
        <w:spacing w:after="30" w:before="0"/>
        <w:ind w:left="227"/>
      </w:pPr>
      <w:r>
        <w:rPr>
          <w:b w:val="0"/>
          <w:i w:val="0"/>
          <w:color w:val="1A1A1A"/>
          <w:sz w:val="18"/>
        </w:rPr>
        <w:t>18.  Traceability</w:t>
      </w:r>
    </w:p>
    <w:p>
      <w:r>
        <w:br w:type="page"/>
      </w:r>
    </w:p>
    <w:p>
      <w:pPr>
        <w:spacing w:after="40" w:before="0"/>
      </w:pPr>
      <w:r>
        <w:rPr>
          <w:b/>
          <w:i w:val="0"/>
          <w:color w:val="451B4F"/>
          <w:sz w:val="28"/>
        </w:rPr>
        <w:t>1 · Purpose, scope and audience</w:t>
      </w:r>
    </w:p>
    <w:p>
      <w:pPr>
        <w:spacing w:after="100" w:before="0"/>
      </w:pPr>
      <w:r>
        <w:rPr>
          <w:b w:val="0"/>
          <w:i w:val="0"/>
          <w:color w:val="1A1A1A"/>
          <w:sz w:val="19"/>
        </w:rPr>
        <w:t>This document describes the design of Magpie as built. It is written to be reviewed: every significant decision is stated with the alternative that was rejected and the reason, so a reviewer can disagree with the reasoning rather than guess at it.</w:t>
      </w:r>
    </w:p>
    <w:p>
      <w:pPr>
        <w:spacing w:after="60" w:before="160"/>
      </w:pPr>
      <w:r>
        <w:rPr>
          <w:b/>
          <w:i w:val="0"/>
          <w:color w:val="712D85"/>
          <w:sz w:val="22"/>
        </w:rPr>
        <w:t>1.1 Problem statement</w:t>
      </w:r>
    </w:p>
    <w:p>
      <w:pPr>
        <w:spacing w:after="100" w:before="0"/>
      </w:pPr>
      <w:r>
        <w:rPr>
          <w:b w:val="0"/>
          <w:i w:val="0"/>
          <w:color w:val="1A1A1A"/>
          <w:sz w:val="19"/>
        </w:rPr>
        <w:t>VMO2's operational processes are tacit. They live in the heads of the people who run them and diverge from whatever documentation exists. Capturing them by workshop does not scale, and produces one analyst's synthesis of several people's accounts — with no way to tell afterwards who said what.</w:t>
      </w:r>
    </w:p>
    <w:p>
      <w:pPr>
        <w:spacing w:after="60" w:before="220"/>
      </w:pPr>
      <w:r>
        <w:rPr>
          <w:b/>
          <w:i w:val="0"/>
          <w:color w:val="712D85"/>
          <w:sz w:val="22"/>
        </w:rPr>
        <w:t>1.2 In scope</w:t>
      </w:r>
    </w:p>
    <w:p>
      <w:pPr>
        <w:pStyle w:val="ListBullet"/>
        <w:spacing w:after="50" w:line="262" w:lineRule="auto"/>
        <w:ind w:left="340"/>
      </w:pPr>
      <w:r>
        <w:rPr>
          <w:b w:val="0"/>
          <w:color w:val="1A1A1A"/>
          <w:sz w:val="19"/>
        </w:rPr>
        <w:t>A conversational interview that captures one informant's account of one process, across twelve defined facets.</w:t>
      </w:r>
    </w:p>
    <w:p>
      <w:pPr>
        <w:pStyle w:val="ListBullet"/>
        <w:spacing w:after="50" w:line="262" w:lineRule="auto"/>
        <w:ind w:left="340"/>
      </w:pPr>
      <w:r>
        <w:rPr>
          <w:b w:val="0"/>
          <w:color w:val="1A1A1A"/>
          <w:sz w:val="19"/>
        </w:rPr>
        <w:t>A per-informant, per-process Markdown specification with structural attribution and provenance.</w:t>
      </w:r>
    </w:p>
    <w:p>
      <w:pPr>
        <w:pStyle w:val="ListBullet"/>
        <w:spacing w:after="50" w:line="262" w:lineRule="auto"/>
        <w:ind w:left="340"/>
      </w:pPr>
      <w:r>
        <w:rPr>
          <w:b w:val="0"/>
          <w:color w:val="1A1A1A"/>
          <w:sz w:val="19"/>
        </w:rPr>
        <w:t>A console for architects: campaigns, tokenised invitations, a register of progress, downloads.</w:t>
      </w:r>
    </w:p>
    <w:p>
      <w:pPr>
        <w:pStyle w:val="ListBullet"/>
        <w:spacing w:after="50" w:line="262" w:lineRule="auto"/>
        <w:ind w:left="340"/>
      </w:pPr>
      <w:r>
        <w:rPr>
          <w:b w:val="0"/>
          <w:color w:val="1A1A1A"/>
          <w:sz w:val="19"/>
        </w:rPr>
        <w:t>Analysis views: BPMN as-is map, to-be change-set, automation-opportunity overlay — each behind a human verification gate.</w:t>
      </w:r>
    </w:p>
    <w:p>
      <w:pPr>
        <w:spacing w:after="60" w:before="220"/>
      </w:pPr>
      <w:r>
        <w:rPr>
          <w:b/>
          <w:i w:val="0"/>
          <w:color w:val="712D85"/>
          <w:sz w:val="22"/>
        </w:rPr>
        <w:t>1.3 Out of scope</w:t>
      </w:r>
    </w:p>
    <w:p>
      <w:pPr>
        <w:pStyle w:val="ListBullet"/>
        <w:spacing w:after="50" w:line="262" w:lineRule="auto"/>
        <w:ind w:left="340"/>
      </w:pPr>
      <w:r>
        <w:rPr>
          <w:b w:val="0"/>
          <w:color w:val="1A1A1A"/>
          <w:sz w:val="19"/>
        </w:rPr>
        <w:t>Modelling in ARIS. Magpie produces the input a modeller drafts from; it does not write to ARIS.</w:t>
      </w:r>
    </w:p>
    <w:p>
      <w:pPr>
        <w:pStyle w:val="ListBullet"/>
        <w:spacing w:after="50" w:line="262" w:lineRule="auto"/>
        <w:ind w:left="340"/>
      </w:pPr>
      <w:r>
        <w:rPr>
          <w:b w:val="0"/>
          <w:color w:val="1A1A1A"/>
          <w:sz w:val="19"/>
        </w:rPr>
        <w:t>Reconciling several informants into one authoritative process. Conflicts are surfaced, never resolved automatically.</w:t>
      </w:r>
    </w:p>
    <w:p>
      <w:pPr>
        <w:pStyle w:val="ListBullet"/>
        <w:spacing w:after="50" w:line="262" w:lineRule="auto"/>
        <w:ind w:left="340"/>
      </w:pPr>
      <w:r>
        <w:rPr>
          <w:b w:val="0"/>
          <w:color w:val="1A1A1A"/>
          <w:sz w:val="19"/>
        </w:rPr>
        <w:t>Telephony or call-centre integration.</w:t>
      </w:r>
    </w:p>
    <w:p>
      <w:pPr>
        <w:pStyle w:val="ListBullet"/>
        <w:spacing w:after="50" w:line="262" w:lineRule="auto"/>
        <w:ind w:left="340"/>
      </w:pPr>
      <w:r>
        <w:rPr>
          <w:b w:val="0"/>
          <w:color w:val="1A1A1A"/>
          <w:sz w:val="19"/>
        </w:rPr>
        <w:t>Any monitoring, scoring or assessment of the individuals interviewed.</w:t>
      </w:r>
    </w:p>
    <w:p>
      <w:pPr>
        <w:spacing w:after="60" w:before="220"/>
      </w:pPr>
      <w:r>
        <w:rPr>
          <w:b/>
          <w:i w:val="0"/>
          <w:color w:val="712D85"/>
          <w:sz w:val="22"/>
        </w:rPr>
        <w:t>1.4 Definitions</w:t>
      </w:r>
    </w:p>
    <w:tbl>
      <w:tblPr>
        <w:tblW w:type="auto" w:w="0"/>
        <w:jc w:val="left"/>
        <w:tblLayout w:type="fixed"/>
        <w:tblLook w:firstColumn="1" w:firstRow="1" w:lastColumn="0" w:lastRow="0" w:noHBand="0" w:noVBand="1" w:val="04A0"/>
      </w:tblPr>
      <w:tblGrid>
        <w:gridCol w:w="4986"/>
        <w:gridCol w:w="4986"/>
      </w:tblGrid>
      <w:tr>
        <w:tc>
          <w:tcPr>
            <w:tcW w:type="dxa" w:w="1701"/>
            <w:shd w:val="clear" w:fill="712D85"/>
          </w:tcPr>
          <w:p>
            <w:pPr>
              <w:spacing w:after="30" w:before="30" w:line="240" w:lineRule="auto"/>
            </w:pPr>
            <w:r>
              <w:rPr>
                <w:b/>
                <w:color w:val="FFFFFF"/>
                <w:sz w:val="17"/>
              </w:rPr>
              <w:t>Term</w:t>
            </w:r>
          </w:p>
        </w:tc>
        <w:tc>
          <w:tcPr>
            <w:tcW w:type="dxa" w:w="7937"/>
            <w:shd w:val="clear" w:fill="712D85"/>
          </w:tcPr>
          <w:p>
            <w:pPr>
              <w:spacing w:after="30" w:before="30" w:line="240" w:lineRule="auto"/>
            </w:pPr>
            <w:r>
              <w:rPr>
                <w:b/>
                <w:color w:val="FFFFFF"/>
                <w:sz w:val="17"/>
              </w:rPr>
              <w:t>Meaning</w:t>
            </w:r>
          </w:p>
        </w:tc>
      </w:tr>
      <w:tr>
        <w:tc>
          <w:tcPr>
            <w:tcW w:type="dxa" w:w="1701"/>
            <w:shd w:val="clear" w:fill="FFFFFF"/>
          </w:tcPr>
          <w:p>
            <w:pPr>
              <w:spacing w:after="30" w:before="30" w:line="240" w:lineRule="auto"/>
            </w:pPr>
            <w:r>
              <w:rPr>
                <w:b/>
                <w:color w:val="1A1A1A"/>
                <w:sz w:val="17"/>
              </w:rPr>
              <w:t>Facet</w:t>
            </w:r>
          </w:p>
        </w:tc>
        <w:tc>
          <w:tcPr>
            <w:tcW w:type="dxa" w:w="7937"/>
            <w:shd w:val="clear" w:fill="FFFFFF"/>
          </w:tcPr>
          <w:p>
            <w:pPr>
              <w:spacing w:after="30" w:before="30" w:line="240" w:lineRule="auto"/>
            </w:pPr>
            <w:r>
              <w:rPr>
                <w:color w:val="1A1A1A"/>
                <w:sz w:val="17"/>
              </w:rPr>
              <w:t>One of twelve defined aspects of a process. The unit of interview coverage.</w:t>
            </w:r>
          </w:p>
        </w:tc>
      </w:tr>
      <w:tr>
        <w:tc>
          <w:tcPr>
            <w:tcW w:type="dxa" w:w="1701"/>
            <w:shd w:val="clear" w:fill="FFFFFF"/>
          </w:tcPr>
          <w:p>
            <w:pPr>
              <w:spacing w:after="30" w:before="30" w:line="240" w:lineRule="auto"/>
            </w:pPr>
            <w:r>
              <w:rPr>
                <w:b/>
                <w:color w:val="1A1A1A"/>
                <w:sz w:val="17"/>
              </w:rPr>
              <w:t>Element</w:t>
            </w:r>
          </w:p>
        </w:tc>
        <w:tc>
          <w:tcPr>
            <w:tcW w:type="dxa" w:w="7937"/>
            <w:shd w:val="clear" w:fill="FFFFFF"/>
          </w:tcPr>
          <w:p>
            <w:pPr>
              <w:spacing w:after="30" w:before="30" w:line="240" w:lineRule="auto"/>
            </w:pPr>
            <w:r>
              <w:rPr>
                <w:color w:val="1A1A1A"/>
                <w:sz w:val="17"/>
              </w:rPr>
              <w:t>A specific thing a facet needs before it counts as answered. 40 in total.</w:t>
            </w:r>
          </w:p>
        </w:tc>
      </w:tr>
      <w:tr>
        <w:tc>
          <w:tcPr>
            <w:tcW w:type="dxa" w:w="1701"/>
            <w:shd w:val="clear" w:fill="FFFFFF"/>
          </w:tcPr>
          <w:p>
            <w:pPr>
              <w:spacing w:after="30" w:before="30" w:line="240" w:lineRule="auto"/>
            </w:pPr>
            <w:r>
              <w:rPr>
                <w:b/>
                <w:color w:val="1A1A1A"/>
                <w:sz w:val="17"/>
              </w:rPr>
              <w:t>Informant</w:t>
            </w:r>
          </w:p>
        </w:tc>
        <w:tc>
          <w:tcPr>
            <w:tcW w:type="dxa" w:w="7937"/>
            <w:shd w:val="clear" w:fill="FFFFFF"/>
          </w:tcPr>
          <w:p>
            <w:pPr>
              <w:spacing w:after="30" w:before="30" w:line="240" w:lineRule="auto"/>
            </w:pPr>
            <w:r>
              <w:rPr>
                <w:color w:val="1A1A1A"/>
                <w:sz w:val="17"/>
              </w:rPr>
              <w:t>The person being interviewed. Also “process user”.</w:t>
            </w:r>
          </w:p>
        </w:tc>
      </w:tr>
      <w:tr>
        <w:tc>
          <w:tcPr>
            <w:tcW w:type="dxa" w:w="1701"/>
            <w:shd w:val="clear" w:fill="FFFFFF"/>
          </w:tcPr>
          <w:p>
            <w:pPr>
              <w:spacing w:after="30" w:before="30" w:line="240" w:lineRule="auto"/>
            </w:pPr>
            <w:r>
              <w:rPr>
                <w:b/>
                <w:color w:val="1A1A1A"/>
                <w:sz w:val="17"/>
              </w:rPr>
              <w:t>Campaign</w:t>
            </w:r>
          </w:p>
        </w:tc>
        <w:tc>
          <w:tcPr>
            <w:tcW w:type="dxa" w:w="7937"/>
            <w:shd w:val="clear" w:fill="FFFFFF"/>
          </w:tcPr>
          <w:p>
            <w:pPr>
              <w:spacing w:after="30" w:before="30" w:line="240" w:lineRule="auto"/>
            </w:pPr>
            <w:r>
              <w:rPr>
                <w:color w:val="1A1A1A"/>
                <w:sz w:val="17"/>
              </w:rPr>
              <w:t>A project grouping informants and target processes.</w:t>
            </w:r>
          </w:p>
        </w:tc>
      </w:tr>
      <w:tr>
        <w:tc>
          <w:tcPr>
            <w:tcW w:type="dxa" w:w="1701"/>
            <w:shd w:val="clear" w:fill="FFFFFF"/>
          </w:tcPr>
          <w:p>
            <w:pPr>
              <w:spacing w:after="30" w:before="30" w:line="240" w:lineRule="auto"/>
            </w:pPr>
            <w:r>
              <w:rPr>
                <w:b/>
                <w:color w:val="1A1A1A"/>
                <w:sz w:val="17"/>
              </w:rPr>
              <w:t>Statement</w:t>
            </w:r>
          </w:p>
        </w:tc>
        <w:tc>
          <w:tcPr>
            <w:tcW w:type="dxa" w:w="7937"/>
            <w:shd w:val="clear" w:fill="FFFFFF"/>
          </w:tcPr>
          <w:p>
            <w:pPr>
              <w:spacing w:after="30" w:before="30" w:line="240" w:lineRule="auto"/>
            </w:pPr>
            <w:r>
              <w:rPr>
                <w:color w:val="1A1A1A"/>
                <w:sz w:val="17"/>
              </w:rPr>
              <w:t>One captured fact, stored against the informant who said it.</w:t>
            </w:r>
          </w:p>
        </w:tc>
      </w:tr>
      <w:tr>
        <w:tc>
          <w:tcPr>
            <w:tcW w:type="dxa" w:w="1701"/>
            <w:shd w:val="clear" w:fill="FFFFFF"/>
          </w:tcPr>
          <w:p>
            <w:pPr>
              <w:spacing w:after="30" w:before="30" w:line="240" w:lineRule="auto"/>
            </w:pPr>
            <w:r>
              <w:rPr>
                <w:b/>
                <w:color w:val="1A1A1A"/>
                <w:sz w:val="17"/>
              </w:rPr>
              <w:t>Finding</w:t>
            </w:r>
          </w:p>
        </w:tc>
        <w:tc>
          <w:tcPr>
            <w:tcW w:type="dxa" w:w="7937"/>
            <w:shd w:val="clear" w:fill="FFFFFF"/>
          </w:tcPr>
          <w:p>
            <w:pPr>
              <w:spacing w:after="30" w:before="30" w:line="240" w:lineRule="auto"/>
            </w:pPr>
            <w:r>
              <w:rPr>
                <w:color w:val="1A1A1A"/>
                <w:sz w:val="17"/>
              </w:rPr>
              <w:t>A conflict or gap raised for a human to resolve. Never auto-resolved.</w:t>
            </w:r>
          </w:p>
        </w:tc>
      </w:tr>
      <w:tr>
        <w:tc>
          <w:tcPr>
            <w:tcW w:type="dxa" w:w="1701"/>
            <w:shd w:val="clear" w:fill="FFFFFF"/>
          </w:tcPr>
          <w:p>
            <w:pPr>
              <w:spacing w:after="30" w:before="30" w:line="240" w:lineRule="auto"/>
            </w:pPr>
            <w:r>
              <w:rPr>
                <w:b/>
                <w:color w:val="1A1A1A"/>
                <w:sz w:val="17"/>
              </w:rPr>
              <w:t>Specification</w:t>
            </w:r>
          </w:p>
        </w:tc>
        <w:tc>
          <w:tcPr>
            <w:tcW w:type="dxa" w:w="7937"/>
            <w:shd w:val="clear" w:fill="FFFFFF"/>
          </w:tcPr>
          <w:p>
            <w:pPr>
              <w:spacing w:after="30" w:before="30" w:line="240" w:lineRule="auto"/>
            </w:pPr>
            <w:r>
              <w:rPr>
                <w:color w:val="1A1A1A"/>
                <w:sz w:val="17"/>
              </w:rPr>
              <w:t>The Markdown output for one informant and one process.</w:t>
            </w:r>
          </w:p>
        </w:tc>
      </w:tr>
    </w:tbl>
    <w:p>
      <w:pPr>
        <w:spacing w:after="80" w:before="0"/>
      </w:pPr>
    </w:p>
    <w:p>
      <w:pPr>
        <w:spacing w:after="40" w:before="160"/>
      </w:pPr>
      <w:r>
        <w:rPr>
          <w:b/>
          <w:i w:val="0"/>
          <w:color w:val="451B4F"/>
          <w:sz w:val="28"/>
        </w:rPr>
        <w:t>2 · Requirements this design satisfies</w:t>
      </w:r>
    </w:p>
    <w:p>
      <w:pPr>
        <w:spacing w:after="100" w:before="0"/>
      </w:pPr>
      <w:r>
        <w:rPr>
          <w:b w:val="0"/>
          <w:i w:val="0"/>
          <w:color w:val="1A1A1A"/>
          <w:sz w:val="19"/>
        </w:rPr>
        <w:t>Requirements come from two sources: the original build brief (FR-1 to FR-6) and a subsequent delta (R1 to R10). Both are traced in section 18.</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850"/>
            <w:shd w:val="clear" w:fill="712D85"/>
          </w:tcPr>
          <w:p>
            <w:pPr>
              <w:spacing w:after="30" w:before="30" w:line="240" w:lineRule="auto"/>
            </w:pPr>
            <w:r>
              <w:rPr>
                <w:b/>
                <w:color w:val="FFFFFF"/>
                <w:sz w:val="17"/>
              </w:rPr>
              <w:t>Ref</w:t>
            </w:r>
          </w:p>
        </w:tc>
        <w:tc>
          <w:tcPr>
            <w:tcW w:type="dxa" w:w="4195"/>
            <w:shd w:val="clear" w:fill="712D85"/>
          </w:tcPr>
          <w:p>
            <w:pPr>
              <w:spacing w:after="30" w:before="30" w:line="240" w:lineRule="auto"/>
            </w:pPr>
            <w:r>
              <w:rPr>
                <w:b/>
                <w:color w:val="FFFFFF"/>
                <w:sz w:val="17"/>
              </w:rPr>
              <w:t>Requirement</w:t>
            </w:r>
          </w:p>
        </w:tc>
        <w:tc>
          <w:tcPr>
            <w:tcW w:type="dxa" w:w="3005"/>
            <w:shd w:val="clear" w:fill="712D85"/>
          </w:tcPr>
          <w:p>
            <w:pPr>
              <w:spacing w:after="30" w:before="30" w:line="240" w:lineRule="auto"/>
            </w:pPr>
            <w:r>
              <w:rPr>
                <w:b/>
                <w:color w:val="FFFFFF"/>
                <w:sz w:val="17"/>
              </w:rPr>
              <w:t>Design response</w:t>
            </w:r>
          </w:p>
        </w:tc>
        <w:tc>
          <w:tcPr>
            <w:tcW w:type="dxa" w:w="1587"/>
            <w:shd w:val="clear" w:fill="712D85"/>
          </w:tcPr>
          <w:p>
            <w:pPr>
              <w:spacing w:after="30" w:before="30" w:line="240" w:lineRule="auto"/>
            </w:pPr>
            <w:r>
              <w:rPr>
                <w:b/>
                <w:color w:val="FFFFFF"/>
                <w:sz w:val="17"/>
              </w:rPr>
              <w:t>State</w:t>
            </w:r>
          </w:p>
        </w:tc>
      </w:tr>
      <w:tr>
        <w:tc>
          <w:tcPr>
            <w:tcW w:type="dxa" w:w="850"/>
            <w:shd w:val="clear" w:fill="FFFFFF"/>
          </w:tcPr>
          <w:p>
            <w:pPr>
              <w:spacing w:after="30" w:before="30" w:line="240" w:lineRule="auto"/>
            </w:pPr>
            <w:r>
              <w:rPr>
                <w:b/>
                <w:color w:val="1A1A1A"/>
                <w:sz w:val="17"/>
              </w:rPr>
              <w:t>FR-1</w:t>
            </w:r>
          </w:p>
        </w:tc>
        <w:tc>
          <w:tcPr>
            <w:tcW w:type="dxa" w:w="4195"/>
            <w:shd w:val="clear" w:fill="FFFFFF"/>
          </w:tcPr>
          <w:p>
            <w:pPr>
              <w:spacing w:after="30" w:before="30" w:line="240" w:lineRule="auto"/>
            </w:pPr>
            <w:r>
              <w:rPr>
                <w:color w:val="1A1A1A"/>
                <w:sz w:val="17"/>
              </w:rPr>
              <w:t>Console: campaigns, links, register</w:t>
            </w:r>
          </w:p>
        </w:tc>
        <w:tc>
          <w:tcPr>
            <w:tcW w:type="dxa" w:w="3005"/>
            <w:shd w:val="clear" w:fill="FFFFFF"/>
          </w:tcPr>
          <w:p>
            <w:pPr>
              <w:spacing w:after="30" w:before="30" w:line="240" w:lineRule="auto"/>
            </w:pPr>
            <w:r>
              <w:rPr>
                <w:color w:val="1A1A1A"/>
                <w:sz w:val="17"/>
              </w:rPr>
              <w:t>§4.2, §10.2</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FR-2</w:t>
            </w:r>
          </w:p>
        </w:tc>
        <w:tc>
          <w:tcPr>
            <w:tcW w:type="dxa" w:w="4195"/>
            <w:shd w:val="clear" w:fill="FFFFFF"/>
          </w:tcPr>
          <w:p>
            <w:pPr>
              <w:spacing w:after="30" w:before="30" w:line="240" w:lineRule="auto"/>
            </w:pPr>
            <w:r>
              <w:rPr>
                <w:color w:val="1A1A1A"/>
                <w:sz w:val="17"/>
              </w:rPr>
              <w:t>Interview entry by tokenised link</w:t>
            </w:r>
          </w:p>
        </w:tc>
        <w:tc>
          <w:tcPr>
            <w:tcW w:type="dxa" w:w="3005"/>
            <w:shd w:val="clear" w:fill="FFFFFF"/>
          </w:tcPr>
          <w:p>
            <w:pPr>
              <w:spacing w:after="30" w:before="30" w:line="240" w:lineRule="auto"/>
            </w:pPr>
            <w:r>
              <w:rPr>
                <w:color w:val="1A1A1A"/>
                <w:sz w:val="17"/>
              </w:rPr>
              <w:t>§4.2, §12.2</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FR-3</w:t>
            </w:r>
          </w:p>
        </w:tc>
        <w:tc>
          <w:tcPr>
            <w:tcW w:type="dxa" w:w="4195"/>
            <w:shd w:val="clear" w:fill="FFFFFF"/>
          </w:tcPr>
          <w:p>
            <w:pPr>
              <w:spacing w:after="30" w:before="30" w:line="240" w:lineRule="auto"/>
            </w:pPr>
            <w:r>
              <w:rPr>
                <w:color w:val="1A1A1A"/>
                <w:sz w:val="17"/>
              </w:rPr>
              <w:t>Interview engine and coverage</w:t>
            </w:r>
          </w:p>
        </w:tc>
        <w:tc>
          <w:tcPr>
            <w:tcW w:type="dxa" w:w="3005"/>
            <w:shd w:val="clear" w:fill="FFFFFF"/>
          </w:tcPr>
          <w:p>
            <w:pPr>
              <w:spacing w:after="30" w:before="30" w:line="240" w:lineRule="auto"/>
            </w:pPr>
            <w:r>
              <w:rPr>
                <w:color w:val="1A1A1A"/>
                <w:sz w:val="17"/>
              </w:rPr>
              <w:t>§5, §6</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FR-4</w:t>
            </w:r>
          </w:p>
        </w:tc>
        <w:tc>
          <w:tcPr>
            <w:tcW w:type="dxa" w:w="4195"/>
            <w:shd w:val="clear" w:fill="FFFFFF"/>
          </w:tcPr>
          <w:p>
            <w:pPr>
              <w:spacing w:after="30" w:before="30" w:line="240" w:lineRule="auto"/>
            </w:pPr>
            <w:r>
              <w:rPr>
                <w:color w:val="1A1A1A"/>
                <w:sz w:val="17"/>
              </w:rPr>
              <w:t>Review and completion</w:t>
            </w:r>
          </w:p>
        </w:tc>
        <w:tc>
          <w:tcPr>
            <w:tcW w:type="dxa" w:w="3005"/>
            <w:shd w:val="clear" w:fill="FFFFFF"/>
          </w:tcPr>
          <w:p>
            <w:pPr>
              <w:spacing w:after="30" w:before="30" w:line="240" w:lineRule="auto"/>
            </w:pPr>
            <w:r>
              <w:rPr>
                <w:color w:val="1A1A1A"/>
                <w:sz w:val="17"/>
              </w:rPr>
              <w:t>§5.5</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FR-5</w:t>
            </w:r>
          </w:p>
        </w:tc>
        <w:tc>
          <w:tcPr>
            <w:tcW w:type="dxa" w:w="4195"/>
            <w:shd w:val="clear" w:fill="FFFFFF"/>
          </w:tcPr>
          <w:p>
            <w:pPr>
              <w:spacing w:after="30" w:before="30" w:line="240" w:lineRule="auto"/>
            </w:pPr>
            <w:r>
              <w:rPr>
                <w:color w:val="1A1A1A"/>
                <w:sz w:val="17"/>
              </w:rPr>
              <w:t>Specification generation</w:t>
            </w:r>
          </w:p>
        </w:tc>
        <w:tc>
          <w:tcPr>
            <w:tcW w:type="dxa" w:w="3005"/>
            <w:shd w:val="clear" w:fill="FFFFFF"/>
          </w:tcPr>
          <w:p>
            <w:pPr>
              <w:spacing w:after="30" w:before="30" w:line="240" w:lineRule="auto"/>
            </w:pPr>
            <w:r>
              <w:rPr>
                <w:color w:val="1A1A1A"/>
                <w:sz w:val="17"/>
              </w:rPr>
              <w:t>§7</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FR-6</w:t>
            </w:r>
          </w:p>
        </w:tc>
        <w:tc>
          <w:tcPr>
            <w:tcW w:type="dxa" w:w="4195"/>
            <w:shd w:val="clear" w:fill="FFFFFF"/>
          </w:tcPr>
          <w:p>
            <w:pPr>
              <w:spacing w:after="30" w:before="30" w:line="240" w:lineRule="auto"/>
            </w:pPr>
            <w:r>
              <w:rPr>
                <w:color w:val="1A1A1A"/>
                <w:sz w:val="17"/>
              </w:rPr>
              <w:t>Brand and UX</w:t>
            </w:r>
          </w:p>
        </w:tc>
        <w:tc>
          <w:tcPr>
            <w:tcW w:type="dxa" w:w="3005"/>
            <w:shd w:val="clear" w:fill="FFFFFF"/>
          </w:tcPr>
          <w:p>
            <w:pPr>
              <w:spacing w:after="30" w:before="30" w:line="240" w:lineRule="auto"/>
            </w:pPr>
            <w:r>
              <w:rPr>
                <w:color w:val="1A1A1A"/>
                <w:sz w:val="17"/>
              </w:rPr>
              <w:t>§4.2</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R1</w:t>
            </w:r>
          </w:p>
        </w:tc>
        <w:tc>
          <w:tcPr>
            <w:tcW w:type="dxa" w:w="4195"/>
            <w:shd w:val="clear" w:fill="FFFFFF"/>
          </w:tcPr>
          <w:p>
            <w:pPr>
              <w:spacing w:after="30" w:before="30" w:line="240" w:lineRule="auto"/>
            </w:pPr>
            <w:r>
              <w:rPr>
                <w:color w:val="1A1A1A"/>
                <w:sz w:val="17"/>
              </w:rPr>
              <w:t>Completeness: transparency and tolerance</w:t>
            </w:r>
          </w:p>
        </w:tc>
        <w:tc>
          <w:tcPr>
            <w:tcW w:type="dxa" w:w="3005"/>
            <w:shd w:val="clear" w:fill="FFFFFF"/>
          </w:tcPr>
          <w:p>
            <w:pPr>
              <w:spacing w:after="30" w:before="30" w:line="240" w:lineRule="auto"/>
            </w:pPr>
            <w:r>
              <w:rPr>
                <w:color w:val="1A1A1A"/>
                <w:sz w:val="17"/>
              </w:rPr>
              <w:t>§6</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R2</w:t>
            </w:r>
          </w:p>
        </w:tc>
        <w:tc>
          <w:tcPr>
            <w:tcW w:type="dxa" w:w="4195"/>
            <w:shd w:val="clear" w:fill="FFFFFF"/>
          </w:tcPr>
          <w:p>
            <w:pPr>
              <w:spacing w:after="30" w:before="30" w:line="240" w:lineRule="auto"/>
            </w:pPr>
            <w:r>
              <w:rPr>
                <w:color w:val="1A1A1A"/>
                <w:sz w:val="17"/>
              </w:rPr>
              <w:t>Deterministic facets as pick-lists</w:t>
            </w:r>
          </w:p>
        </w:tc>
        <w:tc>
          <w:tcPr>
            <w:tcW w:type="dxa" w:w="3005"/>
            <w:shd w:val="clear" w:fill="FFFFFF"/>
          </w:tcPr>
          <w:p>
            <w:pPr>
              <w:spacing w:after="30" w:before="30" w:line="240" w:lineRule="auto"/>
            </w:pPr>
            <w:r>
              <w:rPr>
                <w:color w:val="1A1A1A"/>
                <w:sz w:val="17"/>
              </w:rPr>
              <w:t>§6.4</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R3</w:t>
            </w:r>
          </w:p>
        </w:tc>
        <w:tc>
          <w:tcPr>
            <w:tcW w:type="dxa" w:w="4195"/>
            <w:shd w:val="clear" w:fill="FFFFFF"/>
          </w:tcPr>
          <w:p>
            <w:pPr>
              <w:spacing w:after="30" w:before="30" w:line="240" w:lineRule="auto"/>
            </w:pPr>
            <w:r>
              <w:rPr>
                <w:color w:val="1A1A1A"/>
                <w:sz w:val="17"/>
              </w:rPr>
              <w:t>Artefact ingestion</w:t>
            </w:r>
          </w:p>
        </w:tc>
        <w:tc>
          <w:tcPr>
            <w:tcW w:type="dxa" w:w="3005"/>
            <w:shd w:val="clear" w:fill="FFFFFF"/>
          </w:tcPr>
          <w:p>
            <w:pPr>
              <w:spacing w:after="30" w:before="30" w:line="240" w:lineRule="auto"/>
            </w:pPr>
            <w:r>
              <w:rPr>
                <w:color w:val="1A1A1A"/>
                <w:sz w:val="17"/>
              </w:rPr>
              <w:t>—</w:t>
            </w:r>
          </w:p>
        </w:tc>
        <w:tc>
          <w:tcPr>
            <w:tcW w:type="dxa" w:w="1587"/>
            <w:shd w:val="clear" w:fill="FFFFFF"/>
          </w:tcPr>
          <w:p>
            <w:pPr>
              <w:spacing w:after="30" w:before="30" w:line="240" w:lineRule="auto"/>
            </w:pPr>
            <w:r>
              <w:rPr>
                <w:color w:val="1A1A1A"/>
                <w:sz w:val="17"/>
              </w:rPr>
              <w:t>Not built</w:t>
            </w:r>
          </w:p>
        </w:tc>
      </w:tr>
      <w:tr>
        <w:tc>
          <w:tcPr>
            <w:tcW w:type="dxa" w:w="850"/>
            <w:shd w:val="clear" w:fill="FFFFFF"/>
          </w:tcPr>
          <w:p>
            <w:pPr>
              <w:spacing w:after="30" w:before="30" w:line="240" w:lineRule="auto"/>
            </w:pPr>
            <w:r>
              <w:rPr>
                <w:b/>
                <w:color w:val="1A1A1A"/>
                <w:sz w:val="17"/>
              </w:rPr>
              <w:t>R4</w:t>
            </w:r>
          </w:p>
        </w:tc>
        <w:tc>
          <w:tcPr>
            <w:tcW w:type="dxa" w:w="4195"/>
            <w:shd w:val="clear" w:fill="FFFFFF"/>
          </w:tcPr>
          <w:p>
            <w:pPr>
              <w:spacing w:after="30" w:before="30" w:line="240" w:lineRule="auto"/>
            </w:pPr>
            <w:r>
              <w:rPr>
                <w:color w:val="1A1A1A"/>
                <w:sz w:val="17"/>
              </w:rPr>
              <w:t>Adaptive follow-ups</w:t>
            </w:r>
          </w:p>
        </w:tc>
        <w:tc>
          <w:tcPr>
            <w:tcW w:type="dxa" w:w="3005"/>
            <w:shd w:val="clear" w:fill="FFFFFF"/>
          </w:tcPr>
          <w:p>
            <w:pPr>
              <w:spacing w:after="30" w:before="30" w:line="240" w:lineRule="auto"/>
            </w:pPr>
            <w:r>
              <w:rPr>
                <w:color w:val="1A1A1A"/>
                <w:sz w:val="17"/>
              </w:rPr>
              <w:t>§5.4</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R5</w:t>
            </w:r>
          </w:p>
        </w:tc>
        <w:tc>
          <w:tcPr>
            <w:tcW w:type="dxa" w:w="4195"/>
            <w:shd w:val="clear" w:fill="FFFFFF"/>
          </w:tcPr>
          <w:p>
            <w:pPr>
              <w:spacing w:after="30" w:before="30" w:line="240" w:lineRule="auto"/>
            </w:pPr>
            <w:r>
              <w:rPr>
                <w:color w:val="1A1A1A"/>
                <w:sz w:val="17"/>
              </w:rPr>
              <w:t>Process visualisation (as-is, to-be, opportunity)</w:t>
            </w:r>
          </w:p>
        </w:tc>
        <w:tc>
          <w:tcPr>
            <w:tcW w:type="dxa" w:w="3005"/>
            <w:shd w:val="clear" w:fill="FFFFFF"/>
          </w:tcPr>
          <w:p>
            <w:pPr>
              <w:spacing w:after="30" w:before="30" w:line="240" w:lineRule="auto"/>
            </w:pPr>
            <w:r>
              <w:rPr>
                <w:color w:val="1A1A1A"/>
                <w:sz w:val="17"/>
              </w:rPr>
              <w:t>§8</w:t>
            </w:r>
          </w:p>
        </w:tc>
        <w:tc>
          <w:tcPr>
            <w:tcW w:type="dxa" w:w="1587"/>
            <w:shd w:val="clear" w:fill="FFFFFF"/>
          </w:tcPr>
          <w:p>
            <w:pPr>
              <w:spacing w:after="30" w:before="30" w:line="240" w:lineRule="auto"/>
            </w:pPr>
            <w:r>
              <w:rPr>
                <w:color w:val="1A1A1A"/>
                <w:sz w:val="17"/>
              </w:rPr>
              <w:t>Built, flagged off</w:t>
            </w:r>
          </w:p>
        </w:tc>
      </w:tr>
      <w:tr>
        <w:tc>
          <w:tcPr>
            <w:tcW w:type="dxa" w:w="850"/>
            <w:shd w:val="clear" w:fill="FFFFFF"/>
          </w:tcPr>
          <w:p>
            <w:pPr>
              <w:spacing w:after="30" w:before="30" w:line="240" w:lineRule="auto"/>
            </w:pPr>
            <w:r>
              <w:rPr>
                <w:b/>
                <w:color w:val="1A1A1A"/>
                <w:sz w:val="17"/>
              </w:rPr>
              <w:t>R6</w:t>
            </w:r>
          </w:p>
        </w:tc>
        <w:tc>
          <w:tcPr>
            <w:tcW w:type="dxa" w:w="4195"/>
            <w:shd w:val="clear" w:fill="FFFFFF"/>
          </w:tcPr>
          <w:p>
            <w:pPr>
              <w:spacing w:after="30" w:before="30" w:line="240" w:lineRule="auto"/>
            </w:pPr>
            <w:r>
              <w:rPr>
                <w:color w:val="1A1A1A"/>
                <w:sz w:val="17"/>
              </w:rPr>
              <w:t>Process-template pre-fetch</w:t>
            </w:r>
          </w:p>
        </w:tc>
        <w:tc>
          <w:tcPr>
            <w:tcW w:type="dxa" w:w="3005"/>
            <w:shd w:val="clear" w:fill="FFFFFF"/>
          </w:tcPr>
          <w:p>
            <w:pPr>
              <w:spacing w:after="30" w:before="30" w:line="240" w:lineRule="auto"/>
            </w:pPr>
            <w:r>
              <w:rPr>
                <w:color w:val="1A1A1A"/>
                <w:sz w:val="17"/>
              </w:rPr>
              <w:t>—</w:t>
            </w:r>
          </w:p>
        </w:tc>
        <w:tc>
          <w:tcPr>
            <w:tcW w:type="dxa" w:w="1587"/>
            <w:shd w:val="clear" w:fill="FFFFFF"/>
          </w:tcPr>
          <w:p>
            <w:pPr>
              <w:spacing w:after="30" w:before="30" w:line="240" w:lineRule="auto"/>
            </w:pPr>
            <w:r>
              <w:rPr>
                <w:color w:val="1A1A1A"/>
                <w:sz w:val="17"/>
              </w:rPr>
              <w:t>Not built</w:t>
            </w:r>
          </w:p>
        </w:tc>
      </w:tr>
      <w:tr>
        <w:tc>
          <w:tcPr>
            <w:tcW w:type="dxa" w:w="850"/>
            <w:shd w:val="clear" w:fill="FFFFFF"/>
          </w:tcPr>
          <w:p>
            <w:pPr>
              <w:spacing w:after="30" w:before="30" w:line="240" w:lineRule="auto"/>
            </w:pPr>
            <w:r>
              <w:rPr>
                <w:b/>
                <w:color w:val="1A1A1A"/>
                <w:sz w:val="17"/>
              </w:rPr>
              <w:t>R7</w:t>
            </w:r>
          </w:p>
        </w:tc>
        <w:tc>
          <w:tcPr>
            <w:tcW w:type="dxa" w:w="4195"/>
            <w:shd w:val="clear" w:fill="FFFFFF"/>
          </w:tcPr>
          <w:p>
            <w:pPr>
              <w:spacing w:after="30" w:before="30" w:line="240" w:lineRule="auto"/>
            </w:pPr>
            <w:r>
              <w:rPr>
                <w:color w:val="1A1A1A"/>
                <w:sz w:val="17"/>
              </w:rPr>
              <w:t>Voice / call capture</w:t>
            </w:r>
          </w:p>
        </w:tc>
        <w:tc>
          <w:tcPr>
            <w:tcW w:type="dxa" w:w="3005"/>
            <w:shd w:val="clear" w:fill="FFFFFF"/>
          </w:tcPr>
          <w:p>
            <w:pPr>
              <w:spacing w:after="30" w:before="30" w:line="240" w:lineRule="auto"/>
            </w:pPr>
            <w:r>
              <w:rPr>
                <w:color w:val="1A1A1A"/>
                <w:sz w:val="17"/>
              </w:rPr>
              <w:t>§10.3 (partial: voice input only)</w:t>
            </w:r>
          </w:p>
        </w:tc>
        <w:tc>
          <w:tcPr>
            <w:tcW w:type="dxa" w:w="1587"/>
            <w:shd w:val="clear" w:fill="FFFFFF"/>
          </w:tcPr>
          <w:p>
            <w:pPr>
              <w:spacing w:after="30" w:before="30" w:line="240" w:lineRule="auto"/>
            </w:pPr>
            <w:r>
              <w:rPr>
                <w:color w:val="1A1A1A"/>
                <w:sz w:val="17"/>
              </w:rPr>
              <w:t>Backlog</w:t>
            </w:r>
          </w:p>
        </w:tc>
      </w:tr>
      <w:tr>
        <w:tc>
          <w:tcPr>
            <w:tcW w:type="dxa" w:w="850"/>
            <w:shd w:val="clear" w:fill="FFFFFF"/>
          </w:tcPr>
          <w:p>
            <w:pPr>
              <w:spacing w:after="30" w:before="30" w:line="240" w:lineRule="auto"/>
            </w:pPr>
            <w:r>
              <w:rPr>
                <w:b/>
                <w:color w:val="1A1A1A"/>
                <w:sz w:val="17"/>
              </w:rPr>
              <w:t>R8</w:t>
            </w:r>
          </w:p>
        </w:tc>
        <w:tc>
          <w:tcPr>
            <w:tcW w:type="dxa" w:w="4195"/>
            <w:shd w:val="clear" w:fill="FFFFFF"/>
          </w:tcPr>
          <w:p>
            <w:pPr>
              <w:spacing w:after="30" w:before="30" w:line="240" w:lineRule="auto"/>
            </w:pPr>
            <w:r>
              <w:rPr>
                <w:color w:val="1A1A1A"/>
                <w:sz w:val="17"/>
              </w:rPr>
              <w:t>Suggested response chips</w:t>
            </w:r>
          </w:p>
        </w:tc>
        <w:tc>
          <w:tcPr>
            <w:tcW w:type="dxa" w:w="3005"/>
            <w:shd w:val="clear" w:fill="FFFFFF"/>
          </w:tcPr>
          <w:p>
            <w:pPr>
              <w:spacing w:after="30" w:before="30" w:line="240" w:lineRule="auto"/>
            </w:pPr>
            <w:r>
              <w:rPr>
                <w:color w:val="1A1A1A"/>
                <w:sz w:val="17"/>
              </w:rPr>
              <w:t>—</w:t>
            </w:r>
          </w:p>
        </w:tc>
        <w:tc>
          <w:tcPr>
            <w:tcW w:type="dxa" w:w="1587"/>
            <w:shd w:val="clear" w:fill="FFFFFF"/>
          </w:tcPr>
          <w:p>
            <w:pPr>
              <w:spacing w:after="30" w:before="30" w:line="240" w:lineRule="auto"/>
            </w:pPr>
            <w:r>
              <w:rPr>
                <w:color w:val="1A1A1A"/>
                <w:sz w:val="17"/>
              </w:rPr>
              <w:t>Not built</w:t>
            </w:r>
          </w:p>
        </w:tc>
      </w:tr>
      <w:tr>
        <w:tc>
          <w:tcPr>
            <w:tcW w:type="dxa" w:w="850"/>
            <w:shd w:val="clear" w:fill="FFFFFF"/>
          </w:tcPr>
          <w:p>
            <w:pPr>
              <w:spacing w:after="30" w:before="30" w:line="240" w:lineRule="auto"/>
            </w:pPr>
            <w:r>
              <w:rPr>
                <w:b/>
                <w:color w:val="1A1A1A"/>
                <w:sz w:val="17"/>
              </w:rPr>
              <w:t>R9</w:t>
            </w:r>
          </w:p>
        </w:tc>
        <w:tc>
          <w:tcPr>
            <w:tcW w:type="dxa" w:w="4195"/>
            <w:shd w:val="clear" w:fill="FFFFFF"/>
          </w:tcPr>
          <w:p>
            <w:pPr>
              <w:spacing w:after="30" w:before="30" w:line="240" w:lineRule="auto"/>
            </w:pPr>
            <w:r>
              <w:rPr>
                <w:color w:val="1A1A1A"/>
                <w:sz w:val="17"/>
              </w:rPr>
              <w:t>Bounded interview and graceful finish</w:t>
            </w:r>
          </w:p>
        </w:tc>
        <w:tc>
          <w:tcPr>
            <w:tcW w:type="dxa" w:w="3005"/>
            <w:shd w:val="clear" w:fill="FFFFFF"/>
          </w:tcPr>
          <w:p>
            <w:pPr>
              <w:spacing w:after="30" w:before="30" w:line="240" w:lineRule="auto"/>
            </w:pPr>
            <w:r>
              <w:rPr>
                <w:color w:val="1A1A1A"/>
                <w:sz w:val="17"/>
              </w:rPr>
              <w:t>§5.6</w:t>
            </w:r>
          </w:p>
        </w:tc>
        <w:tc>
          <w:tcPr>
            <w:tcW w:type="dxa" w:w="1587"/>
            <w:shd w:val="clear" w:fill="FFFFFF"/>
          </w:tcPr>
          <w:p>
            <w:pPr>
              <w:spacing w:after="30" w:before="30" w:line="240" w:lineRule="auto"/>
            </w:pPr>
            <w:r>
              <w:rPr>
                <w:color w:val="1A1A1A"/>
                <w:sz w:val="17"/>
              </w:rPr>
              <w:t>Built</w:t>
            </w:r>
          </w:p>
        </w:tc>
      </w:tr>
      <w:tr>
        <w:tc>
          <w:tcPr>
            <w:tcW w:type="dxa" w:w="850"/>
            <w:shd w:val="clear" w:fill="FFFFFF"/>
          </w:tcPr>
          <w:p>
            <w:pPr>
              <w:spacing w:after="30" w:before="30" w:line="240" w:lineRule="auto"/>
            </w:pPr>
            <w:r>
              <w:rPr>
                <w:b/>
                <w:color w:val="1A1A1A"/>
                <w:sz w:val="17"/>
              </w:rPr>
              <w:t>R10</w:t>
            </w:r>
          </w:p>
        </w:tc>
        <w:tc>
          <w:tcPr>
            <w:tcW w:type="dxa" w:w="4195"/>
            <w:shd w:val="clear" w:fill="FFFFFF"/>
          </w:tcPr>
          <w:p>
            <w:pPr>
              <w:spacing w:after="30" w:before="30" w:line="240" w:lineRule="auto"/>
            </w:pPr>
            <w:r>
              <w:rPr>
                <w:color w:val="1A1A1A"/>
                <w:sz w:val="17"/>
              </w:rPr>
              <w:t>Interview UX and data-loss protection</w:t>
            </w:r>
          </w:p>
        </w:tc>
        <w:tc>
          <w:tcPr>
            <w:tcW w:type="dxa" w:w="3005"/>
            <w:shd w:val="clear" w:fill="FFFFFF"/>
          </w:tcPr>
          <w:p>
            <w:pPr>
              <w:spacing w:after="30" w:before="30" w:line="240" w:lineRule="auto"/>
            </w:pPr>
            <w:r>
              <w:rPr>
                <w:color w:val="1A1A1A"/>
                <w:sz w:val="17"/>
              </w:rPr>
              <w:t>§10.2</w:t>
            </w:r>
          </w:p>
        </w:tc>
        <w:tc>
          <w:tcPr>
            <w:tcW w:type="dxa" w:w="1587"/>
            <w:shd w:val="clear" w:fill="FFFFFF"/>
          </w:tcPr>
          <w:p>
            <w:pPr>
              <w:spacing w:after="30" w:before="30" w:line="240" w:lineRule="auto"/>
            </w:pPr>
            <w:r>
              <w:rPr>
                <w:color w:val="1A1A1A"/>
                <w:sz w:val="17"/>
              </w:rPr>
              <w:t>Built</w:t>
            </w:r>
          </w:p>
        </w:tc>
      </w:tr>
    </w:tbl>
    <w:p>
      <w:pPr>
        <w:spacing w:after="80" w:before="0"/>
      </w:pPr>
    </w:p>
    <w:p>
      <w:pPr>
        <w:spacing w:after="40" w:before="160"/>
      </w:pPr>
      <w:r>
        <w:rPr>
          <w:b/>
          <w:i w:val="0"/>
          <w:color w:val="451B4F"/>
          <w:sz w:val="28"/>
        </w:rPr>
        <w:t>3 · Design principles and the constraints they impose</w:t>
      </w:r>
    </w:p>
    <w:p>
      <w:pPr>
        <w:spacing w:after="100" w:before="0"/>
      </w:pPr>
      <w:r>
        <w:rPr>
          <w:b w:val="0"/>
          <w:i w:val="0"/>
          <w:color w:val="1A1A1A"/>
          <w:sz w:val="19"/>
        </w:rPr>
        <w:t>These eight principles are treated as invariants. Each one costs something, and the cost is stated — a principle whose price is not written down tends to be traded away quietly.</w:t>
      </w:r>
    </w:p>
    <w:tbl>
      <w:tblPr>
        <w:tblW w:type="auto" w:w="0"/>
        <w:jc w:val="left"/>
        <w:tblLayout w:type="fixed"/>
        <w:tblLook w:firstColumn="1" w:firstRow="1" w:lastColumn="0" w:lastRow="0" w:noHBand="0" w:noVBand="1" w:val="04A0"/>
      </w:tblPr>
      <w:tblGrid>
        <w:gridCol w:w="3324"/>
        <w:gridCol w:w="3324"/>
        <w:gridCol w:w="3324"/>
      </w:tblGrid>
      <w:tr>
        <w:tc>
          <w:tcPr>
            <w:tcW w:type="dxa" w:w="2211"/>
            <w:shd w:val="clear" w:fill="712D85"/>
          </w:tcPr>
          <w:p>
            <w:pPr>
              <w:spacing w:after="30" w:before="30" w:line="240" w:lineRule="auto"/>
            </w:pPr>
            <w:r>
              <w:rPr>
                <w:b/>
                <w:color w:val="FFFFFF"/>
                <w:sz w:val="17"/>
              </w:rPr>
              <w:t>Principle</w:t>
            </w:r>
          </w:p>
        </w:tc>
        <w:tc>
          <w:tcPr>
            <w:tcW w:type="dxa" w:w="4592"/>
            <w:shd w:val="clear" w:fill="712D85"/>
          </w:tcPr>
          <w:p>
            <w:pPr>
              <w:spacing w:after="30" w:before="30" w:line="240" w:lineRule="auto"/>
            </w:pPr>
            <w:r>
              <w:rPr>
                <w:b/>
                <w:color w:val="FFFFFF"/>
                <w:sz w:val="17"/>
              </w:rPr>
              <w:t>Design constraint it imposes</w:t>
            </w:r>
          </w:p>
        </w:tc>
        <w:tc>
          <w:tcPr>
            <w:tcW w:type="dxa" w:w="2835"/>
            <w:shd w:val="clear" w:fill="712D85"/>
          </w:tcPr>
          <w:p>
            <w:pPr>
              <w:spacing w:after="30" w:before="30" w:line="240" w:lineRule="auto"/>
            </w:pPr>
            <w:r>
              <w:rPr>
                <w:b/>
                <w:color w:val="FFFFFF"/>
                <w:sz w:val="17"/>
              </w:rPr>
              <w:t>What it costs</w:t>
            </w:r>
          </w:p>
        </w:tc>
      </w:tr>
      <w:tr>
        <w:tc>
          <w:tcPr>
            <w:tcW w:type="dxa" w:w="2211"/>
            <w:shd w:val="clear" w:fill="FFFFFF"/>
          </w:tcPr>
          <w:p>
            <w:pPr>
              <w:spacing w:after="30" w:before="30" w:line="240" w:lineRule="auto"/>
            </w:pPr>
            <w:r>
              <w:rPr>
                <w:b/>
                <w:color w:val="1A1A1A"/>
                <w:sz w:val="17"/>
              </w:rPr>
              <w:t>P1 · Model proposes, server disposes</w:t>
            </w:r>
          </w:p>
        </w:tc>
        <w:tc>
          <w:tcPr>
            <w:tcW w:type="dxa" w:w="4592"/>
            <w:shd w:val="clear" w:fill="FFFFFF"/>
          </w:tcPr>
          <w:p>
            <w:pPr>
              <w:spacing w:after="30" w:before="30" w:line="240" w:lineRule="auto"/>
            </w:pPr>
            <w:r>
              <w:rPr>
                <w:color w:val="1A1A1A"/>
                <w:sz w:val="17"/>
              </w:rPr>
              <w:t>All state changes arrive as validated tool calls. The model has no write path and cannot author document structure.</w:t>
            </w:r>
          </w:p>
        </w:tc>
        <w:tc>
          <w:tcPr>
            <w:tcW w:type="dxa" w:w="2835"/>
            <w:shd w:val="clear" w:fill="FFFFFF"/>
          </w:tcPr>
          <w:p>
            <w:pPr>
              <w:spacing w:after="30" w:before="30" w:line="240" w:lineRule="auto"/>
            </w:pPr>
            <w:r>
              <w:rPr>
                <w:color w:val="1A1A1A"/>
                <w:sz w:val="17"/>
              </w:rPr>
              <w:t>More engine code; the model cannot be given shortcuts.</w:t>
            </w:r>
          </w:p>
        </w:tc>
      </w:tr>
      <w:tr>
        <w:tc>
          <w:tcPr>
            <w:tcW w:type="dxa" w:w="2211"/>
            <w:shd w:val="clear" w:fill="FFFFFF"/>
          </w:tcPr>
          <w:p>
            <w:pPr>
              <w:spacing w:after="30" w:before="30" w:line="240" w:lineRule="auto"/>
            </w:pPr>
            <w:r>
              <w:rPr>
                <w:b/>
                <w:color w:val="1A1A1A"/>
                <w:sz w:val="17"/>
              </w:rPr>
              <w:t>P2 · Attribute everything, average nothing</w:t>
            </w:r>
          </w:p>
        </w:tc>
        <w:tc>
          <w:tcPr>
            <w:tcW w:type="dxa" w:w="4592"/>
            <w:shd w:val="clear" w:fill="FFFFFF"/>
          </w:tcPr>
          <w:p>
            <w:pPr>
              <w:spacing w:after="30" w:before="30" w:line="240" w:lineRule="auto"/>
            </w:pPr>
            <w:r>
              <w:rPr>
                <w:color w:val="1A1A1A"/>
                <w:sz w:val="17"/>
              </w:rPr>
              <w:t>Statements are stored per informant. Disagreements become findings for a human.</w:t>
            </w:r>
          </w:p>
        </w:tc>
        <w:tc>
          <w:tcPr>
            <w:tcW w:type="dxa" w:w="2835"/>
            <w:shd w:val="clear" w:fill="FFFFFF"/>
          </w:tcPr>
          <w:p>
            <w:pPr>
              <w:spacing w:after="30" w:before="30" w:line="240" w:lineRule="auto"/>
            </w:pPr>
            <w:r>
              <w:rPr>
                <w:color w:val="1A1A1A"/>
                <w:sz w:val="17"/>
              </w:rPr>
              <w:t>No single tidy answer per process. A human must reconcile.</w:t>
            </w:r>
          </w:p>
        </w:tc>
      </w:tr>
      <w:tr>
        <w:tc>
          <w:tcPr>
            <w:tcW w:type="dxa" w:w="2211"/>
            <w:shd w:val="clear" w:fill="FFFFFF"/>
          </w:tcPr>
          <w:p>
            <w:pPr>
              <w:spacing w:after="30" w:before="30" w:line="240" w:lineRule="auto"/>
            </w:pPr>
            <w:r>
              <w:rPr>
                <w:b/>
                <w:color w:val="1A1A1A"/>
                <w:sz w:val="17"/>
              </w:rPr>
              <w:t>P3 · No silent gaps</w:t>
            </w:r>
          </w:p>
        </w:tc>
        <w:tc>
          <w:tcPr>
            <w:tcW w:type="dxa" w:w="4592"/>
            <w:shd w:val="clear" w:fill="FFFFFF"/>
          </w:tcPr>
          <w:p>
            <w:pPr>
              <w:spacing w:after="30" w:before="30" w:line="240" w:lineRule="auto"/>
            </w:pPr>
            <w:r>
              <w:rPr>
                <w:color w:val="1A1A1A"/>
                <w:sz w:val="17"/>
              </w:rPr>
              <w:t>Every facet must reach a terminal state. A session cannot complete otherwise.</w:t>
            </w:r>
          </w:p>
        </w:tc>
        <w:tc>
          <w:tcPr>
            <w:tcW w:type="dxa" w:w="2835"/>
            <w:shd w:val="clear" w:fill="FFFFFF"/>
          </w:tcPr>
          <w:p>
            <w:pPr>
              <w:spacing w:after="30" w:before="30" w:line="240" w:lineRule="auto"/>
            </w:pPr>
            <w:r>
              <w:rPr>
                <w:color w:val="1A1A1A"/>
                <w:sz w:val="17"/>
              </w:rPr>
              <w:t>Longer interviews; “I don't know” must be modelled as a real answer.</w:t>
            </w:r>
          </w:p>
        </w:tc>
      </w:tr>
      <w:tr>
        <w:tc>
          <w:tcPr>
            <w:tcW w:type="dxa" w:w="2211"/>
            <w:shd w:val="clear" w:fill="FFFFFF"/>
          </w:tcPr>
          <w:p>
            <w:pPr>
              <w:spacing w:after="30" w:before="30" w:line="240" w:lineRule="auto"/>
            </w:pPr>
            <w:r>
              <w:rPr>
                <w:b/>
                <w:color w:val="1A1A1A"/>
                <w:sz w:val="17"/>
              </w:rPr>
              <w:t>P4 · Provenance is structural</w:t>
            </w:r>
          </w:p>
        </w:tc>
        <w:tc>
          <w:tcPr>
            <w:tcW w:type="dxa" w:w="4592"/>
            <w:shd w:val="clear" w:fill="FFFFFF"/>
          </w:tcPr>
          <w:p>
            <w:pPr>
              <w:spacing w:after="30" w:before="30" w:line="240" w:lineRule="auto"/>
            </w:pPr>
            <w:r>
              <w:rPr>
                <w:color w:val="1A1A1A"/>
                <w:sz w:val="17"/>
              </w:rPr>
              <w:t>Attribution is emitted by the renderer in code, not requested in a prompt.</w:t>
            </w:r>
          </w:p>
        </w:tc>
        <w:tc>
          <w:tcPr>
            <w:tcW w:type="dxa" w:w="2835"/>
            <w:shd w:val="clear" w:fill="FFFFFF"/>
          </w:tcPr>
          <w:p>
            <w:pPr>
              <w:spacing w:after="30" w:before="30" w:line="240" w:lineRule="auto"/>
            </w:pPr>
            <w:r>
              <w:rPr>
                <w:color w:val="1A1A1A"/>
                <w:sz w:val="17"/>
              </w:rPr>
              <w:t>The renderer, not the model, owns document shape.</w:t>
            </w:r>
          </w:p>
        </w:tc>
      </w:tr>
      <w:tr>
        <w:tc>
          <w:tcPr>
            <w:tcW w:type="dxa" w:w="2211"/>
            <w:shd w:val="clear" w:fill="FFFFFF"/>
          </w:tcPr>
          <w:p>
            <w:pPr>
              <w:spacing w:after="30" w:before="30" w:line="240" w:lineRule="auto"/>
            </w:pPr>
            <w:r>
              <w:rPr>
                <w:b/>
                <w:color w:val="1A1A1A"/>
                <w:sz w:val="17"/>
              </w:rPr>
              <w:t>P5 · Models are configuration</w:t>
            </w:r>
          </w:p>
        </w:tc>
        <w:tc>
          <w:tcPr>
            <w:tcW w:type="dxa" w:w="4592"/>
            <w:shd w:val="clear" w:fill="FFFFFF"/>
          </w:tcPr>
          <w:p>
            <w:pPr>
              <w:spacing w:after="30" w:before="30" w:line="240" w:lineRule="auto"/>
            </w:pPr>
            <w:r>
              <w:rPr>
                <w:color w:val="1A1A1A"/>
                <w:sz w:val="17"/>
              </w:rPr>
              <w:t>Model id, temperature and limits live in environment configuration; no model-specific logic in code.</w:t>
            </w:r>
          </w:p>
        </w:tc>
        <w:tc>
          <w:tcPr>
            <w:tcW w:type="dxa" w:w="2835"/>
            <w:shd w:val="clear" w:fill="FFFFFF"/>
          </w:tcPr>
          <w:p>
            <w:pPr>
              <w:spacing w:after="30" w:before="30" w:line="240" w:lineRule="auto"/>
            </w:pPr>
            <w:r>
              <w:rPr>
                <w:color w:val="1A1A1A"/>
                <w:sz w:val="17"/>
              </w:rPr>
              <w:t>Applies within a vendor. See §17 R-3.</w:t>
            </w:r>
          </w:p>
        </w:tc>
      </w:tr>
      <w:tr>
        <w:tc>
          <w:tcPr>
            <w:tcW w:type="dxa" w:w="2211"/>
            <w:shd w:val="clear" w:fill="FFFFFF"/>
          </w:tcPr>
          <w:p>
            <w:pPr>
              <w:spacing w:after="30" w:before="30" w:line="240" w:lineRule="auto"/>
            </w:pPr>
            <w:r>
              <w:rPr>
                <w:b/>
                <w:color w:val="1A1A1A"/>
                <w:sz w:val="17"/>
              </w:rPr>
              <w:t>P6 · Minimalism</w:t>
            </w:r>
          </w:p>
        </w:tc>
        <w:tc>
          <w:tcPr>
            <w:tcW w:type="dxa" w:w="4592"/>
            <w:shd w:val="clear" w:fill="FFFFFF"/>
          </w:tcPr>
          <w:p>
            <w:pPr>
              <w:spacing w:after="30" w:before="30" w:line="240" w:lineRule="auto"/>
            </w:pPr>
            <w:r>
              <w:rPr>
                <w:color w:val="1A1A1A"/>
                <w:sz w:val="17"/>
              </w:rPr>
              <w:t>Extend before adding. One deployable, ten runtime dependencies, no queues or cache tier.</w:t>
            </w:r>
          </w:p>
        </w:tc>
        <w:tc>
          <w:tcPr>
            <w:tcW w:type="dxa" w:w="2835"/>
            <w:shd w:val="clear" w:fill="FFFFFF"/>
          </w:tcPr>
          <w:p>
            <w:pPr>
              <w:spacing w:after="30" w:before="30" w:line="240" w:lineRule="auto"/>
            </w:pPr>
            <w:r>
              <w:rPr>
                <w:color w:val="1A1A1A"/>
                <w:sz w:val="17"/>
              </w:rPr>
              <w:t>Some scaling patterns deferred; each dependency needs justification.</w:t>
            </w:r>
          </w:p>
        </w:tc>
      </w:tr>
      <w:tr>
        <w:tc>
          <w:tcPr>
            <w:tcW w:type="dxa" w:w="2211"/>
            <w:shd w:val="clear" w:fill="FFFFFF"/>
          </w:tcPr>
          <w:p>
            <w:pPr>
              <w:spacing w:after="30" w:before="30" w:line="240" w:lineRule="auto"/>
            </w:pPr>
            <w:r>
              <w:rPr>
                <w:b/>
                <w:color w:val="1A1A1A"/>
                <w:sz w:val="17"/>
              </w:rPr>
              <w:t>P7 · Privacy by design</w:t>
            </w:r>
          </w:p>
        </w:tc>
        <w:tc>
          <w:tcPr>
            <w:tcW w:type="dxa" w:w="4592"/>
            <w:shd w:val="clear" w:fill="FFFFFF"/>
          </w:tcPr>
          <w:p>
            <w:pPr>
              <w:spacing w:after="30" w:before="30" w:line="240" w:lineRule="auto"/>
            </w:pPr>
            <w:r>
              <w:rPr>
                <w:color w:val="1A1A1A"/>
                <w:sz w:val="17"/>
              </w:rPr>
              <w:t>Email addresses stay in the register. No telemetry, no behavioural monitoring.</w:t>
            </w:r>
          </w:p>
        </w:tc>
        <w:tc>
          <w:tcPr>
            <w:tcW w:type="dxa" w:w="2835"/>
            <w:shd w:val="clear" w:fill="FFFFFF"/>
          </w:tcPr>
          <w:p>
            <w:pPr>
              <w:spacing w:after="30" w:before="30" w:line="240" w:lineRule="auto"/>
            </w:pPr>
            <w:r>
              <w:rPr>
                <w:color w:val="1A1A1A"/>
                <w:sz w:val="17"/>
              </w:rPr>
              <w:t>No usage analytics to draw on when tuning.</w:t>
            </w:r>
          </w:p>
        </w:tc>
      </w:tr>
      <w:tr>
        <w:tc>
          <w:tcPr>
            <w:tcW w:type="dxa" w:w="2211"/>
            <w:shd w:val="clear" w:fill="FFFFFF"/>
          </w:tcPr>
          <w:p>
            <w:pPr>
              <w:spacing w:after="30" w:before="30" w:line="240" w:lineRule="auto"/>
            </w:pPr>
            <w:r>
              <w:rPr>
                <w:b/>
                <w:color w:val="1A1A1A"/>
                <w:sz w:val="17"/>
              </w:rPr>
              <w:t>P8 · British throughout</w:t>
            </w:r>
          </w:p>
        </w:tc>
        <w:tc>
          <w:tcPr>
            <w:tcW w:type="dxa" w:w="4592"/>
            <w:shd w:val="clear" w:fill="FFFFFF"/>
          </w:tcPr>
          <w:p>
            <w:pPr>
              <w:spacing w:after="30" w:before="30" w:line="240" w:lineRule="auto"/>
            </w:pPr>
            <w:r>
              <w:rPr>
                <w:color w:val="1A1A1A"/>
                <w:sz w:val="17"/>
              </w:rPr>
              <w:t>UK dates, sentence case, £, plain confident voice, no emoji.</w:t>
            </w:r>
          </w:p>
        </w:tc>
        <w:tc>
          <w:tcPr>
            <w:tcW w:type="dxa" w:w="2835"/>
            <w:shd w:val="clear" w:fill="FFFFFF"/>
          </w:tcPr>
          <w:p>
            <w:pPr>
              <w:spacing w:after="30" w:before="30" w:line="240" w:lineRule="auto"/>
            </w:pPr>
            <w:r>
              <w:rPr>
                <w:color w:val="1A1A1A"/>
                <w:sz w:val="17"/>
              </w:rPr>
              <w:t>Nothing material.</w:t>
            </w:r>
          </w:p>
        </w:tc>
      </w:tr>
    </w:tbl>
    <w:p>
      <w:pPr>
        <w:spacing w:after="80" w:before="0"/>
      </w:pPr>
    </w:p>
    <w:p>
      <w:r>
        <w:br w:type="page"/>
      </w:r>
    </w:p>
    <w:p>
      <w:pPr>
        <w:spacing w:after="40" w:before="0"/>
      </w:pPr>
      <w:r>
        <w:rPr>
          <w:b/>
          <w:i w:val="0"/>
          <w:color w:val="451B4F"/>
          <w:sz w:val="28"/>
        </w:rPr>
        <w:t>4 · Solution overview</w:t>
      </w:r>
    </w:p>
    <w:p>
      <w:pPr>
        <w:spacing w:before="100" w:after="40"/>
        <w:jc w:val="center"/>
      </w:pPr>
      <w:r>
        <w:drawing>
          <wp:inline xmlns:a="http://schemas.openxmlformats.org/drawingml/2006/main" xmlns:pic="http://schemas.openxmlformats.org/drawingml/2006/picture">
            <wp:extent cx="6120000" cy="3715714"/>
            <wp:docPr id="1" name="Picture 1"/>
            <wp:cNvGraphicFramePr>
              <a:graphicFrameLocks noChangeAspect="1"/>
            </wp:cNvGraphicFramePr>
            <a:graphic>
              <a:graphicData uri="http://schemas.openxmlformats.org/drawingml/2006/picture">
                <pic:pic>
                  <pic:nvPicPr>
                    <pic:cNvPr id="0" name="arch-system.png"/>
                    <pic:cNvPicPr/>
                  </pic:nvPicPr>
                  <pic:blipFill>
                    <a:blip r:embed="rId9"/>
                    <a:stretch>
                      <a:fillRect/>
                    </a:stretch>
                  </pic:blipFill>
                  <pic:spPr>
                    <a:xfrm>
                      <a:off x="0" y="0"/>
                      <a:ext cx="6120000" cy="3715714"/>
                    </a:xfrm>
                    <a:prstGeom prst="rect"/>
                  </pic:spPr>
                </pic:pic>
              </a:graphicData>
            </a:graphic>
          </wp:inline>
        </w:drawing>
      </w:r>
    </w:p>
    <w:p>
      <w:pPr>
        <w:spacing w:after="180" w:before="0"/>
        <w:jc w:val="center"/>
      </w:pPr>
      <w:r>
        <w:rPr>
          <w:b w:val="0"/>
          <w:i/>
          <w:color w:val="5A5A5A"/>
          <w:sz w:val="16"/>
        </w:rPr>
        <w:t>Figure 1 — Logical architecture. One container, one database, two external calls.</w:t>
      </w:r>
    </w:p>
    <w:p>
      <w:pPr>
        <w:spacing w:after="60" w:before="80"/>
      </w:pPr>
      <w:r>
        <w:rPr>
          <w:b/>
          <w:i w:val="0"/>
          <w:color w:val="712D85"/>
          <w:sz w:val="22"/>
        </w:rPr>
        <w:t>4.1 Architectural style</w:t>
      </w:r>
    </w:p>
    <w:p>
      <w:pPr>
        <w:spacing w:after="100" w:before="0"/>
      </w:pPr>
      <w:r>
        <w:rPr>
          <w:b w:val="0"/>
          <w:i w:val="0"/>
          <w:color w:val="1A1A1A"/>
          <w:sz w:val="19"/>
        </w:rPr>
        <w:t>A single Next.js application serving both user faces and its own API, over a relational database. This is a deliberately conventional choice. The novel part of the system is the interview engine; spending novelty budget on the infrastructure as well would make it harder to operate and no better.</w:t>
      </w:r>
    </w:p>
    <w:p>
      <w:pPr>
        <w:spacing w:after="100" w:before="0"/>
      </w:pPr>
      <w:r>
        <w:rPr>
          <w:b/>
          <w:color w:val="1A1A1A"/>
          <w:sz w:val="19"/>
        </w:rPr>
        <w:t xml:space="preserve">Statelessness is the one property worth calling out. </w:t>
      </w:r>
      <w:r>
        <w:rPr>
          <w:b w:val="0"/>
          <w:color w:val="1A1A1A"/>
          <w:sz w:val="19"/>
        </w:rPr>
        <w:t>There is no in-memory session store. Every turn is reconstructed by replaying persisted state, so any instance can serve any request, an interrupted interview resumes exactly where it stopped, and a deployment mid-interview loses nothing.</w:t>
      </w:r>
    </w:p>
    <w:p>
      <w:pPr>
        <w:spacing w:after="60" w:before="220"/>
      </w:pPr>
      <w:r>
        <w:rPr>
          <w:b/>
          <w:i w:val="0"/>
          <w:color w:val="712D85"/>
          <w:sz w:val="22"/>
        </w:rPr>
        <w:t>4.2 Component responsibilities</w:t>
      </w:r>
    </w:p>
    <w:tbl>
      <w:tblPr>
        <w:tblW w:type="auto" w:w="0"/>
        <w:jc w:val="left"/>
        <w:tblLayout w:type="fixed"/>
        <w:tblLook w:firstColumn="1" w:firstRow="1" w:lastColumn="0" w:lastRow="0" w:noHBand="0" w:noVBand="1" w:val="04A0"/>
      </w:tblPr>
      <w:tblGrid>
        <w:gridCol w:w="3324"/>
        <w:gridCol w:w="3324"/>
        <w:gridCol w:w="3324"/>
      </w:tblGrid>
      <w:tr>
        <w:tc>
          <w:tcPr>
            <w:tcW w:type="dxa" w:w="1814"/>
            <w:shd w:val="clear" w:fill="712D85"/>
          </w:tcPr>
          <w:p>
            <w:pPr>
              <w:spacing w:after="30" w:before="30" w:line="240" w:lineRule="auto"/>
            </w:pPr>
            <w:r>
              <w:rPr>
                <w:b/>
                <w:color w:val="FFFFFF"/>
                <w:sz w:val="17"/>
              </w:rPr>
              <w:t>Component</w:t>
            </w:r>
          </w:p>
        </w:tc>
        <w:tc>
          <w:tcPr>
            <w:tcW w:type="dxa" w:w="5102"/>
            <w:shd w:val="clear" w:fill="712D85"/>
          </w:tcPr>
          <w:p>
            <w:pPr>
              <w:spacing w:after="30" w:before="30" w:line="240" w:lineRule="auto"/>
            </w:pPr>
            <w:r>
              <w:rPr>
                <w:b/>
                <w:color w:val="FFFFFF"/>
                <w:sz w:val="17"/>
              </w:rPr>
              <w:t>Responsibility</w:t>
            </w:r>
          </w:p>
        </w:tc>
        <w:tc>
          <w:tcPr>
            <w:tcW w:type="dxa" w:w="2721"/>
            <w:shd w:val="clear" w:fill="712D85"/>
          </w:tcPr>
          <w:p>
            <w:pPr>
              <w:spacing w:after="30" w:before="30" w:line="240" w:lineRule="auto"/>
            </w:pPr>
            <w:r>
              <w:rPr>
                <w:b/>
                <w:color w:val="FFFFFF"/>
                <w:sz w:val="17"/>
              </w:rPr>
              <w:t>Key constraint</w:t>
            </w:r>
          </w:p>
        </w:tc>
      </w:tr>
      <w:tr>
        <w:tc>
          <w:tcPr>
            <w:tcW w:type="dxa" w:w="1814"/>
            <w:shd w:val="clear" w:fill="FFFFFF"/>
          </w:tcPr>
          <w:p>
            <w:pPr>
              <w:spacing w:after="30" w:before="30" w:line="240" w:lineRule="auto"/>
            </w:pPr>
            <w:r>
              <w:rPr>
                <w:b/>
                <w:color w:val="1A1A1A"/>
                <w:sz w:val="17"/>
              </w:rPr>
              <w:t>app/(interview)</w:t>
            </w:r>
          </w:p>
        </w:tc>
        <w:tc>
          <w:tcPr>
            <w:tcW w:type="dxa" w:w="5102"/>
            <w:shd w:val="clear" w:fill="FFFFFF"/>
          </w:tcPr>
          <w:p>
            <w:pPr>
              <w:spacing w:after="30" w:before="30" w:line="240" w:lineRule="auto"/>
            </w:pPr>
            <w:r>
              <w:rPr>
                <w:color w:val="1A1A1A"/>
                <w:sz w:val="17"/>
              </w:rPr>
              <w:t>Tokenised entry, the interview surface, playback and review</w:t>
            </w:r>
          </w:p>
        </w:tc>
        <w:tc>
          <w:tcPr>
            <w:tcW w:type="dxa" w:w="2721"/>
            <w:shd w:val="clear" w:fill="FFFFFF"/>
          </w:tcPr>
          <w:p>
            <w:pPr>
              <w:spacing w:after="30" w:before="30" w:line="240" w:lineRule="auto"/>
            </w:pPr>
            <w:r>
              <w:rPr>
                <w:color w:val="1A1A1A"/>
                <w:sz w:val="17"/>
              </w:rPr>
              <w:t>No account system; nothing to leak</w:t>
            </w:r>
          </w:p>
        </w:tc>
      </w:tr>
      <w:tr>
        <w:tc>
          <w:tcPr>
            <w:tcW w:type="dxa" w:w="1814"/>
            <w:shd w:val="clear" w:fill="FFFFFF"/>
          </w:tcPr>
          <w:p>
            <w:pPr>
              <w:spacing w:after="30" w:before="30" w:line="240" w:lineRule="auto"/>
            </w:pPr>
            <w:r>
              <w:rPr>
                <w:b/>
                <w:color w:val="1A1A1A"/>
                <w:sz w:val="17"/>
              </w:rPr>
              <w:t>app/console</w:t>
            </w:r>
          </w:p>
        </w:tc>
        <w:tc>
          <w:tcPr>
            <w:tcW w:type="dxa" w:w="5102"/>
            <w:shd w:val="clear" w:fill="FFFFFF"/>
          </w:tcPr>
          <w:p>
            <w:pPr>
              <w:spacing w:after="30" w:before="30" w:line="240" w:lineRule="auto"/>
            </w:pPr>
            <w:r>
              <w:rPr>
                <w:color w:val="1A1A1A"/>
                <w:sz w:val="17"/>
              </w:rPr>
              <w:t>Campaigns, invitations, register, findings, downloads</w:t>
            </w:r>
          </w:p>
        </w:tc>
        <w:tc>
          <w:tcPr>
            <w:tcW w:type="dxa" w:w="2721"/>
            <w:shd w:val="clear" w:fill="FFFFFF"/>
          </w:tcPr>
          <w:p>
            <w:pPr>
              <w:spacing w:after="30" w:before="30" w:line="240" w:lineRule="auto"/>
            </w:pPr>
            <w:r>
              <w:rPr>
                <w:color w:val="1A1A1A"/>
                <w:sz w:val="17"/>
              </w:rPr>
              <w:t>Password-gated</w:t>
            </w:r>
          </w:p>
        </w:tc>
      </w:tr>
      <w:tr>
        <w:tc>
          <w:tcPr>
            <w:tcW w:type="dxa" w:w="1814"/>
            <w:shd w:val="clear" w:fill="FFFFFF"/>
          </w:tcPr>
          <w:p>
            <w:pPr>
              <w:spacing w:after="30" w:before="30" w:line="240" w:lineRule="auto"/>
            </w:pPr>
            <w:r>
              <w:rPr>
                <w:b/>
                <w:color w:val="1A1A1A"/>
                <w:sz w:val="17"/>
              </w:rPr>
              <w:t>app/api</w:t>
            </w:r>
          </w:p>
        </w:tc>
        <w:tc>
          <w:tcPr>
            <w:tcW w:type="dxa" w:w="5102"/>
            <w:shd w:val="clear" w:fill="FFFFFF"/>
          </w:tcPr>
          <w:p>
            <w:pPr>
              <w:spacing w:after="30" w:before="30" w:line="240" w:lineRule="auto"/>
            </w:pPr>
            <w:r>
              <w:rPr>
                <w:color w:val="1A1A1A"/>
                <w:sz w:val="17"/>
              </w:rPr>
              <w:t>13 routes. All model-calling paths are rate-limited</w:t>
            </w:r>
          </w:p>
        </w:tc>
        <w:tc>
          <w:tcPr>
            <w:tcW w:type="dxa" w:w="2721"/>
            <w:shd w:val="clear" w:fill="FFFFFF"/>
          </w:tcPr>
          <w:p>
            <w:pPr>
              <w:spacing w:after="30" w:before="30" w:line="240" w:lineRule="auto"/>
            </w:pPr>
            <w:r>
              <w:rPr>
                <w:color w:val="1A1A1A"/>
                <w:sz w:val="17"/>
              </w:rPr>
              <w:t>Server-side only</w:t>
            </w:r>
          </w:p>
        </w:tc>
      </w:tr>
      <w:tr>
        <w:tc>
          <w:tcPr>
            <w:tcW w:type="dxa" w:w="1814"/>
            <w:shd w:val="clear" w:fill="FFFFFF"/>
          </w:tcPr>
          <w:p>
            <w:pPr>
              <w:spacing w:after="30" w:before="30" w:line="240" w:lineRule="auto"/>
            </w:pPr>
            <w:r>
              <w:rPr>
                <w:b/>
                <w:color w:val="1A1A1A"/>
                <w:sz w:val="17"/>
              </w:rPr>
              <w:t>lib/engine</w:t>
            </w:r>
          </w:p>
        </w:tc>
        <w:tc>
          <w:tcPr>
            <w:tcW w:type="dxa" w:w="5102"/>
            <w:shd w:val="clear" w:fill="FFFFFF"/>
          </w:tcPr>
          <w:p>
            <w:pPr>
              <w:spacing w:after="30" w:before="30" w:line="240" w:lineRule="auto"/>
            </w:pPr>
            <w:r>
              <w:rPr>
                <w:color w:val="1A1A1A"/>
                <w:sz w:val="17"/>
              </w:rPr>
              <w:t>Turn loop, context assembly, tool validation, question ranking</w:t>
            </w:r>
          </w:p>
        </w:tc>
        <w:tc>
          <w:tcPr>
            <w:tcW w:type="dxa" w:w="2721"/>
            <w:shd w:val="clear" w:fill="FFFFFF"/>
          </w:tcPr>
          <w:p>
            <w:pPr>
              <w:spacing w:after="30" w:before="30" w:line="240" w:lineRule="auto"/>
            </w:pPr>
            <w:r>
              <w:rPr>
                <w:color w:val="1A1A1A"/>
                <w:sz w:val="17"/>
              </w:rPr>
              <w:t>Owns all state transitions</w:t>
            </w:r>
          </w:p>
        </w:tc>
      </w:tr>
      <w:tr>
        <w:tc>
          <w:tcPr>
            <w:tcW w:type="dxa" w:w="1814"/>
            <w:shd w:val="clear" w:fill="FFFFFF"/>
          </w:tcPr>
          <w:p>
            <w:pPr>
              <w:spacing w:after="30" w:before="30" w:line="240" w:lineRule="auto"/>
            </w:pPr>
            <w:r>
              <w:rPr>
                <w:b/>
                <w:color w:val="1A1A1A"/>
                <w:sz w:val="17"/>
              </w:rPr>
              <w:t>lib/facets</w:t>
            </w:r>
          </w:p>
        </w:tc>
        <w:tc>
          <w:tcPr>
            <w:tcW w:type="dxa" w:w="5102"/>
            <w:shd w:val="clear" w:fill="FFFFFF"/>
          </w:tcPr>
          <w:p>
            <w:pPr>
              <w:spacing w:after="30" w:before="30" w:line="240" w:lineRule="auto"/>
            </w:pPr>
            <w:r>
              <w:rPr>
                <w:color w:val="1A1A1A"/>
                <w:sz w:val="17"/>
              </w:rPr>
              <w:t>The twelve-facet, forty-element machine specification</w:t>
            </w:r>
          </w:p>
        </w:tc>
        <w:tc>
          <w:tcPr>
            <w:tcW w:type="dxa" w:w="2721"/>
            <w:shd w:val="clear" w:fill="FFFFFF"/>
          </w:tcPr>
          <w:p>
            <w:pPr>
              <w:spacing w:after="30" w:before="30" w:line="240" w:lineRule="auto"/>
            </w:pPr>
            <w:r>
              <w:rPr>
                <w:color w:val="1A1A1A"/>
                <w:sz w:val="17"/>
              </w:rPr>
              <w:t>Single source of truth</w:t>
            </w:r>
          </w:p>
        </w:tc>
      </w:tr>
      <w:tr>
        <w:tc>
          <w:tcPr>
            <w:tcW w:type="dxa" w:w="1814"/>
            <w:shd w:val="clear" w:fill="FFFFFF"/>
          </w:tcPr>
          <w:p>
            <w:pPr>
              <w:spacing w:after="30" w:before="30" w:line="240" w:lineRule="auto"/>
            </w:pPr>
            <w:r>
              <w:rPr>
                <w:b/>
                <w:color w:val="1A1A1A"/>
                <w:sz w:val="17"/>
              </w:rPr>
              <w:t>lib/spec</w:t>
            </w:r>
          </w:p>
        </w:tc>
        <w:tc>
          <w:tcPr>
            <w:tcW w:type="dxa" w:w="5102"/>
            <w:shd w:val="clear" w:fill="FFFFFF"/>
          </w:tcPr>
          <w:p>
            <w:pPr>
              <w:spacing w:after="30" w:before="30" w:line="240" w:lineRule="auto"/>
            </w:pPr>
            <w:r>
              <w:rPr>
                <w:color w:val="1A1A1A"/>
                <w:sz w:val="17"/>
              </w:rPr>
              <w:t>Deterministic Markdown renderer and validator</w:t>
            </w:r>
          </w:p>
        </w:tc>
        <w:tc>
          <w:tcPr>
            <w:tcW w:type="dxa" w:w="2721"/>
            <w:shd w:val="clear" w:fill="FFFFFF"/>
          </w:tcPr>
          <w:p>
            <w:pPr>
              <w:spacing w:after="30" w:before="30" w:line="240" w:lineRule="auto"/>
            </w:pPr>
            <w:r>
              <w:rPr>
                <w:color w:val="1A1A1A"/>
                <w:sz w:val="17"/>
              </w:rPr>
              <w:t>Model never writes structure</w:t>
            </w:r>
          </w:p>
        </w:tc>
      </w:tr>
      <w:tr>
        <w:tc>
          <w:tcPr>
            <w:tcW w:type="dxa" w:w="1814"/>
            <w:shd w:val="clear" w:fill="FFFFFF"/>
          </w:tcPr>
          <w:p>
            <w:pPr>
              <w:spacing w:after="30" w:before="30" w:line="240" w:lineRule="auto"/>
            </w:pPr>
            <w:r>
              <w:rPr>
                <w:b/>
                <w:color w:val="1A1A1A"/>
                <w:sz w:val="17"/>
              </w:rPr>
              <w:t>lib/graph</w:t>
            </w:r>
          </w:p>
        </w:tc>
        <w:tc>
          <w:tcPr>
            <w:tcW w:type="dxa" w:w="5102"/>
            <w:shd w:val="clear" w:fill="FFFFFF"/>
          </w:tcPr>
          <w:p>
            <w:pPr>
              <w:spacing w:after="30" w:before="30" w:line="240" w:lineRule="auto"/>
            </w:pPr>
            <w:r>
              <w:rPr>
                <w:color w:val="1A1A1A"/>
                <w:sz w:val="17"/>
              </w:rPr>
              <w:t>Process graph, BPMN serialisation, to-be, opportunities, gate</w:t>
            </w:r>
          </w:p>
        </w:tc>
        <w:tc>
          <w:tcPr>
            <w:tcW w:type="dxa" w:w="2721"/>
            <w:shd w:val="clear" w:fill="FFFFFF"/>
          </w:tcPr>
          <w:p>
            <w:pPr>
              <w:spacing w:after="30" w:before="30" w:line="240" w:lineRule="auto"/>
            </w:pPr>
            <w:r>
              <w:rPr>
                <w:color w:val="1A1A1A"/>
                <w:sz w:val="17"/>
              </w:rPr>
              <w:t>All output is proposed</w:t>
            </w:r>
          </w:p>
        </w:tc>
      </w:tr>
      <w:tr>
        <w:tc>
          <w:tcPr>
            <w:tcW w:type="dxa" w:w="1814"/>
            <w:shd w:val="clear" w:fill="FFFFFF"/>
          </w:tcPr>
          <w:p>
            <w:pPr>
              <w:spacing w:after="30" w:before="30" w:line="240" w:lineRule="auto"/>
            </w:pPr>
            <w:r>
              <w:rPr>
                <w:b/>
                <w:color w:val="1A1A1A"/>
                <w:sz w:val="17"/>
              </w:rPr>
              <w:t>lib/db</w:t>
            </w:r>
          </w:p>
        </w:tc>
        <w:tc>
          <w:tcPr>
            <w:tcW w:type="dxa" w:w="5102"/>
            <w:shd w:val="clear" w:fill="FFFFFF"/>
          </w:tcPr>
          <w:p>
            <w:pPr>
              <w:spacing w:after="30" w:before="30" w:line="240" w:lineRule="auto"/>
            </w:pPr>
            <w:r>
              <w:rPr>
                <w:color w:val="1A1A1A"/>
                <w:sz w:val="17"/>
              </w:rPr>
              <w:t>Drizzle ORM over 14 tables</w:t>
            </w:r>
          </w:p>
        </w:tc>
        <w:tc>
          <w:tcPr>
            <w:tcW w:type="dxa" w:w="2721"/>
            <w:shd w:val="clear" w:fill="FFFFFF"/>
          </w:tcPr>
          <w:p>
            <w:pPr>
              <w:spacing w:after="30" w:before="30" w:line="240" w:lineRule="auto"/>
            </w:pPr>
            <w:r>
              <w:rPr>
                <w:color w:val="1A1A1A"/>
                <w:sz w:val="17"/>
              </w:rPr>
              <w:t>Turns and statements append-only</w:t>
            </w:r>
          </w:p>
        </w:tc>
      </w:tr>
    </w:tbl>
    <w:p>
      <w:pPr>
        <w:spacing w:after="80" w:before="0"/>
      </w:pPr>
    </w:p>
    <w:p>
      <w:pPr>
        <w:spacing w:after="40" w:before="160"/>
      </w:pPr>
      <w:r>
        <w:rPr>
          <w:b/>
          <w:i w:val="0"/>
          <w:color w:val="451B4F"/>
          <w:sz w:val="28"/>
        </w:rPr>
        <w:t>5 · Detailed design — the interview engine</w:t>
      </w:r>
    </w:p>
    <w:p>
      <w:pPr>
        <w:spacing w:before="100" w:after="40"/>
        <w:jc w:val="center"/>
      </w:pPr>
      <w:r>
        <w:drawing>
          <wp:inline xmlns:a="http://schemas.openxmlformats.org/drawingml/2006/main" xmlns:pic="http://schemas.openxmlformats.org/drawingml/2006/picture">
            <wp:extent cx="6120000" cy="3278571"/>
            <wp:docPr id="2" name="Picture 2"/>
            <wp:cNvGraphicFramePr>
              <a:graphicFrameLocks noChangeAspect="1"/>
            </wp:cNvGraphicFramePr>
            <a:graphic>
              <a:graphicData uri="http://schemas.openxmlformats.org/drawingml/2006/picture">
                <pic:pic>
                  <pic:nvPicPr>
                    <pic:cNvPr id="0" name="arch-turn.png"/>
                    <pic:cNvPicPr/>
                  </pic:nvPicPr>
                  <pic:blipFill>
                    <a:blip r:embed="rId10"/>
                    <a:stretch>
                      <a:fillRect/>
                    </a:stretch>
                  </pic:blipFill>
                  <pic:spPr>
                    <a:xfrm>
                      <a:off x="0" y="0"/>
                      <a:ext cx="6120000" cy="3278571"/>
                    </a:xfrm>
                    <a:prstGeom prst="rect"/>
                  </pic:spPr>
                </pic:pic>
              </a:graphicData>
            </a:graphic>
          </wp:inline>
        </w:drawing>
      </w:r>
    </w:p>
    <w:p>
      <w:pPr>
        <w:spacing w:after="180" w:before="0"/>
        <w:jc w:val="center"/>
      </w:pPr>
      <w:r>
        <w:rPr>
          <w:b w:val="0"/>
          <w:i/>
          <w:color w:val="5A5A5A"/>
          <w:sz w:val="16"/>
        </w:rPr>
        <w:t>Figure 2 — One turn. Every proposed state change is validated before it is applied.</w:t>
      </w:r>
    </w:p>
    <w:p>
      <w:pPr>
        <w:spacing w:after="60" w:before="80"/>
      </w:pPr>
      <w:r>
        <w:rPr>
          <w:b/>
          <w:i w:val="0"/>
          <w:color w:val="712D85"/>
          <w:sz w:val="22"/>
        </w:rPr>
        <w:t>5.1 The turn loop</w:t>
      </w:r>
    </w:p>
    <w:p>
      <w:pPr>
        <w:spacing w:after="100" w:before="0"/>
      </w:pPr>
      <w:r>
        <w:rPr>
          <w:b w:val="0"/>
          <w:i w:val="0"/>
          <w:color w:val="1A1A1A"/>
          <w:sz w:val="19"/>
        </w:rPr>
        <w:t>A turn proceeds in four steps: the informant's answer is persisted; the server assembles context (system prompt, facet specification, full transcript, live coverage); the model is called with tool definitions; the server validates and applies each proposed call, then streams back the agent's next question.</w:t>
      </w:r>
    </w:p>
    <w:p>
      <w:pPr>
        <w:spacing w:after="60" w:before="220"/>
      </w:pPr>
      <w:r>
        <w:rPr>
          <w:b/>
          <w:i w:val="0"/>
          <w:color w:val="712D85"/>
          <w:sz w:val="22"/>
        </w:rPr>
        <w:t>5.2 The tool surface — the only write path</w:t>
      </w:r>
    </w:p>
    <w:tbl>
      <w:tblPr>
        <w:tblW w:type="auto" w:w="0"/>
        <w:jc w:val="left"/>
        <w:tblLayout w:type="fixed"/>
        <w:tblLook w:firstColumn="1" w:firstRow="1" w:lastColumn="0" w:lastRow="0" w:noHBand="0" w:noVBand="1" w:val="04A0"/>
      </w:tblPr>
      <w:tblGrid>
        <w:gridCol w:w="3324"/>
        <w:gridCol w:w="3324"/>
        <w:gridCol w:w="3324"/>
      </w:tblGrid>
      <w:tr>
        <w:tc>
          <w:tcPr>
            <w:tcW w:type="dxa" w:w="1814"/>
            <w:shd w:val="clear" w:fill="712D85"/>
          </w:tcPr>
          <w:p>
            <w:pPr>
              <w:spacing w:after="30" w:before="30" w:line="240" w:lineRule="auto"/>
            </w:pPr>
            <w:r>
              <w:rPr>
                <w:b/>
                <w:color w:val="FFFFFF"/>
                <w:sz w:val="17"/>
              </w:rPr>
              <w:t>Tool</w:t>
            </w:r>
          </w:p>
        </w:tc>
        <w:tc>
          <w:tcPr>
            <w:tcW w:type="dxa" w:w="3175"/>
            <w:shd w:val="clear" w:fill="712D85"/>
          </w:tcPr>
          <w:p>
            <w:pPr>
              <w:spacing w:after="30" w:before="30" w:line="240" w:lineRule="auto"/>
            </w:pPr>
            <w:r>
              <w:rPr>
                <w:b/>
                <w:color w:val="FFFFFF"/>
                <w:sz w:val="17"/>
              </w:rPr>
              <w:t>Purpose</w:t>
            </w:r>
          </w:p>
        </w:tc>
        <w:tc>
          <w:tcPr>
            <w:tcW w:type="dxa" w:w="4649"/>
            <w:shd w:val="clear" w:fill="712D85"/>
          </w:tcPr>
          <w:p>
            <w:pPr>
              <w:spacing w:after="30" w:before="30" w:line="240" w:lineRule="auto"/>
            </w:pPr>
            <w:r>
              <w:rPr>
                <w:b/>
                <w:color w:val="FFFFFF"/>
                <w:sz w:val="17"/>
              </w:rPr>
              <w:t>Server enforces</w:t>
            </w:r>
          </w:p>
        </w:tc>
      </w:tr>
      <w:tr>
        <w:tc>
          <w:tcPr>
            <w:tcW w:type="dxa" w:w="1814"/>
            <w:shd w:val="clear" w:fill="FFFFFF"/>
          </w:tcPr>
          <w:p>
            <w:pPr>
              <w:spacing w:after="30" w:before="30" w:line="240" w:lineRule="auto"/>
            </w:pPr>
            <w:r>
              <w:rPr>
                <w:b/>
                <w:color w:val="1A1A1A"/>
                <w:sz w:val="17"/>
              </w:rPr>
              <w:t>record_statement</w:t>
            </w:r>
          </w:p>
        </w:tc>
        <w:tc>
          <w:tcPr>
            <w:tcW w:type="dxa" w:w="3175"/>
            <w:shd w:val="clear" w:fill="FFFFFF"/>
          </w:tcPr>
          <w:p>
            <w:pPr>
              <w:spacing w:after="30" w:before="30" w:line="240" w:lineRule="auto"/>
            </w:pPr>
            <w:r>
              <w:rPr>
                <w:color w:val="1A1A1A"/>
                <w:sz w:val="17"/>
              </w:rPr>
              <w:t>Capture one fact against a facet</w:t>
            </w:r>
          </w:p>
        </w:tc>
        <w:tc>
          <w:tcPr>
            <w:tcW w:type="dxa" w:w="4649"/>
            <w:shd w:val="clear" w:fill="FFFFFF"/>
          </w:tcPr>
          <w:p>
            <w:pPr>
              <w:spacing w:after="30" w:before="30" w:line="240" w:lineRule="auto"/>
            </w:pPr>
            <w:r>
              <w:rPr>
                <w:color w:val="1A1A1A"/>
                <w:sz w:val="17"/>
              </w:rPr>
              <w:t>Schema; facet must exist</w:t>
            </w:r>
          </w:p>
        </w:tc>
      </w:tr>
      <w:tr>
        <w:tc>
          <w:tcPr>
            <w:tcW w:type="dxa" w:w="1814"/>
            <w:shd w:val="clear" w:fill="FFFFFF"/>
          </w:tcPr>
          <w:p>
            <w:pPr>
              <w:spacing w:after="30" w:before="30" w:line="240" w:lineRule="auto"/>
            </w:pPr>
            <w:r>
              <w:rPr>
                <w:b/>
                <w:color w:val="1A1A1A"/>
                <w:sz w:val="17"/>
              </w:rPr>
              <w:t>set_element</w:t>
            </w:r>
          </w:p>
        </w:tc>
        <w:tc>
          <w:tcPr>
            <w:tcW w:type="dxa" w:w="3175"/>
            <w:shd w:val="clear" w:fill="FFFFFF"/>
          </w:tcPr>
          <w:p>
            <w:pPr>
              <w:spacing w:after="30" w:before="30" w:line="240" w:lineRule="auto"/>
            </w:pPr>
            <w:r>
              <w:rPr>
                <w:color w:val="1A1A1A"/>
                <w:sz w:val="17"/>
              </w:rPr>
              <w:t>Mark a checklist element captured or N/A</w:t>
            </w:r>
          </w:p>
        </w:tc>
        <w:tc>
          <w:tcPr>
            <w:tcW w:type="dxa" w:w="4649"/>
            <w:shd w:val="clear" w:fill="FFFFFF"/>
          </w:tcPr>
          <w:p>
            <w:pPr>
              <w:spacing w:after="30" w:before="30" w:line="240" w:lineRule="auto"/>
            </w:pPr>
            <w:r>
              <w:rPr>
                <w:color w:val="1A1A1A"/>
                <w:sz w:val="17"/>
              </w:rPr>
              <w:t>Element must belong to the facet claimed</w:t>
            </w:r>
          </w:p>
        </w:tc>
      </w:tr>
      <w:tr>
        <w:tc>
          <w:tcPr>
            <w:tcW w:type="dxa" w:w="1814"/>
            <w:shd w:val="clear" w:fill="FFFFFF"/>
          </w:tcPr>
          <w:p>
            <w:pPr>
              <w:spacing w:after="30" w:before="30" w:line="240" w:lineRule="auto"/>
            </w:pPr>
            <w:r>
              <w:rPr>
                <w:b/>
                <w:color w:val="1A1A1A"/>
                <w:sz w:val="17"/>
              </w:rPr>
              <w:t>set_coverage</w:t>
            </w:r>
          </w:p>
        </w:tc>
        <w:tc>
          <w:tcPr>
            <w:tcW w:type="dxa" w:w="3175"/>
            <w:shd w:val="clear" w:fill="FFFFFF"/>
          </w:tcPr>
          <w:p>
            <w:pPr>
              <w:spacing w:after="30" w:before="30" w:line="240" w:lineRule="auto"/>
            </w:pPr>
            <w:r>
              <w:rPr>
                <w:color w:val="1A1A1A"/>
                <w:sz w:val="17"/>
              </w:rPr>
              <w:t>Move a facet to a terminal state</w:t>
            </w:r>
          </w:p>
        </w:tc>
        <w:tc>
          <w:tcPr>
            <w:tcW w:type="dxa" w:w="4649"/>
            <w:shd w:val="clear" w:fill="FFFFFF"/>
          </w:tcPr>
          <w:p>
            <w:pPr>
              <w:spacing w:after="30" w:before="30" w:line="240" w:lineRule="auto"/>
            </w:pPr>
            <w:r>
              <w:rPr>
                <w:color w:val="1A1A1A"/>
                <w:sz w:val="17"/>
              </w:rPr>
              <w:t>Only unknown_to_informant or not_applicable may be set directly, and only by a legal transition. answered and partial are derived, never asserted.</w:t>
            </w:r>
          </w:p>
        </w:tc>
      </w:tr>
      <w:tr>
        <w:tc>
          <w:tcPr>
            <w:tcW w:type="dxa" w:w="1814"/>
            <w:shd w:val="clear" w:fill="FFFFFF"/>
          </w:tcPr>
          <w:p>
            <w:pPr>
              <w:spacing w:after="30" w:before="30" w:line="240" w:lineRule="auto"/>
            </w:pPr>
            <w:r>
              <w:rPr>
                <w:b/>
                <w:color w:val="1A1A1A"/>
                <w:sz w:val="17"/>
              </w:rPr>
              <w:t>record_entity</w:t>
            </w:r>
          </w:p>
        </w:tc>
        <w:tc>
          <w:tcPr>
            <w:tcW w:type="dxa" w:w="3175"/>
            <w:shd w:val="clear" w:fill="FFFFFF"/>
          </w:tcPr>
          <w:p>
            <w:pPr>
              <w:spacing w:after="30" w:before="30" w:line="240" w:lineRule="auto"/>
            </w:pPr>
            <w:r>
              <w:rPr>
                <w:color w:val="1A1A1A"/>
                <w:sz w:val="17"/>
              </w:rPr>
              <w:t>Register a canonical entity (system, role, document)</w:t>
            </w:r>
          </w:p>
        </w:tc>
        <w:tc>
          <w:tcPr>
            <w:tcW w:type="dxa" w:w="4649"/>
            <w:shd w:val="clear" w:fill="FFFFFF"/>
          </w:tcPr>
          <w:p>
            <w:pPr>
              <w:spacing w:after="30" w:before="30" w:line="240" w:lineRule="auto"/>
            </w:pPr>
            <w:r>
              <w:rPr>
                <w:color w:val="1A1A1A"/>
                <w:sz w:val="17"/>
              </w:rPr>
              <w:t>Project-scoped canonical key</w:t>
            </w:r>
          </w:p>
        </w:tc>
      </w:tr>
      <w:tr>
        <w:tc>
          <w:tcPr>
            <w:tcW w:type="dxa" w:w="1814"/>
            <w:shd w:val="clear" w:fill="FFFFFF"/>
          </w:tcPr>
          <w:p>
            <w:pPr>
              <w:spacing w:after="30" w:before="30" w:line="240" w:lineRule="auto"/>
            </w:pPr>
            <w:r>
              <w:rPr>
                <w:b/>
                <w:color w:val="1A1A1A"/>
                <w:sz w:val="17"/>
              </w:rPr>
              <w:t>raise_finding</w:t>
            </w:r>
          </w:p>
        </w:tc>
        <w:tc>
          <w:tcPr>
            <w:tcW w:type="dxa" w:w="3175"/>
            <w:shd w:val="clear" w:fill="FFFFFF"/>
          </w:tcPr>
          <w:p>
            <w:pPr>
              <w:spacing w:after="30" w:before="30" w:line="240" w:lineRule="auto"/>
            </w:pPr>
            <w:r>
              <w:rPr>
                <w:color w:val="1A1A1A"/>
                <w:sz w:val="17"/>
              </w:rPr>
              <w:t>Flag a conflict or gap for a human</w:t>
            </w:r>
          </w:p>
        </w:tc>
        <w:tc>
          <w:tcPr>
            <w:tcW w:type="dxa" w:w="4649"/>
            <w:shd w:val="clear" w:fill="FFFFFF"/>
          </w:tcPr>
          <w:p>
            <w:pPr>
              <w:spacing w:after="30" w:before="30" w:line="240" w:lineRule="auto"/>
            </w:pPr>
            <w:r>
              <w:rPr>
                <w:color w:val="1A1A1A"/>
                <w:sz w:val="17"/>
              </w:rPr>
              <w:t>Never auto-resolved</w:t>
            </w:r>
          </w:p>
        </w:tc>
      </w:tr>
      <w:tr>
        <w:tc>
          <w:tcPr>
            <w:tcW w:type="dxa" w:w="1814"/>
            <w:shd w:val="clear" w:fill="FFFFFF"/>
          </w:tcPr>
          <w:p>
            <w:pPr>
              <w:spacing w:after="30" w:before="30" w:line="240" w:lineRule="auto"/>
            </w:pPr>
            <w:r>
              <w:rPr>
                <w:b/>
                <w:color w:val="1A1A1A"/>
                <w:sz w:val="17"/>
              </w:rPr>
              <w:t>end_interview</w:t>
            </w:r>
          </w:p>
        </w:tc>
        <w:tc>
          <w:tcPr>
            <w:tcW w:type="dxa" w:w="3175"/>
            <w:shd w:val="clear" w:fill="FFFFFF"/>
          </w:tcPr>
          <w:p>
            <w:pPr>
              <w:spacing w:after="30" w:before="30" w:line="240" w:lineRule="auto"/>
            </w:pPr>
            <w:r>
              <w:rPr>
                <w:color w:val="1A1A1A"/>
                <w:sz w:val="17"/>
              </w:rPr>
              <w:t>Request completion</w:t>
            </w:r>
          </w:p>
        </w:tc>
        <w:tc>
          <w:tcPr>
            <w:tcW w:type="dxa" w:w="4649"/>
            <w:shd w:val="clear" w:fill="FFFFFF"/>
          </w:tcPr>
          <w:p>
            <w:pPr>
              <w:spacing w:after="30" w:before="30" w:line="240" w:lineRule="auto"/>
            </w:pPr>
            <w:r>
              <w:rPr>
                <w:color w:val="1A1A1A"/>
                <w:sz w:val="17"/>
              </w:rPr>
              <w:t>Refused while any facet is pending or partial</w:t>
            </w:r>
          </w:p>
        </w:tc>
      </w:tr>
    </w:tbl>
    <w:p>
      <w:pPr>
        <w:spacing w:after="80" w:before="0"/>
      </w:pPr>
    </w:p>
    <w:p>
      <w:pPr>
        <w:spacing w:after="100" w:before="0"/>
      </w:pPr>
      <w:r>
        <w:rPr>
          <w:b/>
          <w:color w:val="1A1A1A"/>
          <w:sz w:val="19"/>
        </w:rPr>
        <w:t xml:space="preserve">A rejected call is returned to the model as an error, never silently dropped. </w:t>
      </w:r>
      <w:r>
        <w:rPr>
          <w:b w:val="0"/>
          <w:color w:val="1A1A1A"/>
          <w:sz w:val="19"/>
        </w:rPr>
        <w:t>Silent rejection is the failure mode that produces a confident interview with missing data — the model believes it recorded something and moves on.</w:t>
      </w:r>
    </w:p>
    <w:p>
      <w:pPr>
        <w:spacing w:after="60" w:before="220"/>
      </w:pPr>
      <w:r>
        <w:rPr>
          <w:b/>
          <w:i w:val="0"/>
          <w:color w:val="712D85"/>
          <w:sz w:val="22"/>
        </w:rPr>
        <w:t>5.3 Idempotency and resume</w:t>
      </w:r>
    </w:p>
    <w:p>
      <w:pPr>
        <w:spacing w:after="100" w:before="0"/>
      </w:pPr>
      <w:r>
        <w:rPr>
          <w:b w:val="0"/>
          <w:i w:val="0"/>
          <w:color w:val="1A1A1A"/>
          <w:sz w:val="19"/>
        </w:rPr>
        <w:t>Turns are deduplicated on (session, sequence). If a reply already exists for a submitted turn it is returned without re-invoking the model — so a retry after a dropped connection costs nothing and cannot double-record. Resume replays persisted state; there is nothing in memory to lose.</w:t>
      </w:r>
    </w:p>
    <w:p>
      <w:pPr>
        <w:spacing w:after="60" w:before="220"/>
      </w:pPr>
      <w:r>
        <w:rPr>
          <w:b/>
          <w:i w:val="0"/>
          <w:color w:val="712D85"/>
          <w:sz w:val="22"/>
        </w:rPr>
        <w:t>5.4 Question selection</w:t>
      </w:r>
    </w:p>
    <w:p>
      <w:pPr>
        <w:spacing w:after="100" w:before="0"/>
      </w:pPr>
      <w:r>
        <w:rPr>
          <w:b w:val="0"/>
          <w:i w:val="0"/>
          <w:color w:val="1A1A1A"/>
          <w:sz w:val="19"/>
        </w:rPr>
        <w:t>One question per agent turn, enforced server-side. An agent that asks three questions at once receives one answer and quietly loses two. The next question is chosen from a ranked shortlist of outstanding elements, with a per-facet follow-up cap so a single topic cannot consume the interview.</w:t>
      </w:r>
    </w:p>
    <w:p>
      <w:pPr>
        <w:spacing w:after="60" w:before="220"/>
      </w:pPr>
      <w:r>
        <w:rPr>
          <w:b/>
          <w:i w:val="0"/>
          <w:color w:val="712D85"/>
          <w:sz w:val="22"/>
        </w:rPr>
        <w:t>5.5 Review and completion</w:t>
      </w:r>
    </w:p>
    <w:p>
      <w:pPr>
        <w:spacing w:after="100" w:before="0"/>
      </w:pPr>
      <w:r>
        <w:rPr>
          <w:b w:val="0"/>
          <w:i w:val="0"/>
          <w:color w:val="1A1A1A"/>
          <w:sz w:val="19"/>
        </w:rPr>
        <w:t>The informant sees a playback of what was understood and may correct it. Corrections are appended as superseding statements. Completion generates and validates the specification; an invalid specification blocks completion rather than producing a caveated document.</w:t>
      </w:r>
    </w:p>
    <w:p>
      <w:pPr>
        <w:spacing w:after="60" w:before="220"/>
      </w:pPr>
      <w:r>
        <w:rPr>
          <w:b/>
          <w:i w:val="0"/>
          <w:color w:val="712D85"/>
          <w:sz w:val="22"/>
        </w:rPr>
        <w:t>5.6 Bounded interview</w:t>
      </w:r>
    </w:p>
    <w:p>
      <w:pPr>
        <w:spacing w:after="100" w:before="0"/>
      </w:pPr>
      <w:r>
        <w:rPr>
          <w:b w:val="0"/>
          <w:i w:val="0"/>
          <w:color w:val="1A1A1A"/>
          <w:sz w:val="19"/>
        </w:rPr>
        <w:t>A configurable question budget gives the interview a felt horizon. When it is spent the session moves to playback rather than grinding on — acceptable precisely because questions are asked in priority order, so what is truncated is the least valuable end. An informant may also finish early; the specification is generated regardless and states what is missing in its prose, not only its metadata.</w:t>
      </w:r>
    </w:p>
    <w:p>
      <w:r>
        <w:br w:type="page"/>
      </w:r>
    </w:p>
    <w:p>
      <w:pPr>
        <w:spacing w:after="40" w:before="0"/>
      </w:pPr>
      <w:r>
        <w:rPr>
          <w:b/>
          <w:i w:val="0"/>
          <w:color w:val="451B4F"/>
          <w:sz w:val="28"/>
        </w:rPr>
        <w:t>6 · Detailed design — coverage and completeness</w:t>
      </w:r>
    </w:p>
    <w:p>
      <w:pPr>
        <w:spacing w:before="100" w:after="40"/>
        <w:jc w:val="center"/>
      </w:pPr>
      <w:r>
        <w:drawing>
          <wp:inline xmlns:a="http://schemas.openxmlformats.org/drawingml/2006/main" xmlns:pic="http://schemas.openxmlformats.org/drawingml/2006/picture">
            <wp:extent cx="6120000" cy="2994429"/>
            <wp:docPr id="3" name="Picture 3"/>
            <wp:cNvGraphicFramePr>
              <a:graphicFrameLocks noChangeAspect="1"/>
            </wp:cNvGraphicFramePr>
            <a:graphic>
              <a:graphicData uri="http://schemas.openxmlformats.org/drawingml/2006/picture">
                <pic:pic>
                  <pic:nvPicPr>
                    <pic:cNvPr id="0" name="arch-states.png"/>
                    <pic:cNvPicPr/>
                  </pic:nvPicPr>
                  <pic:blipFill>
                    <a:blip r:embed="rId11"/>
                    <a:stretch>
                      <a:fillRect/>
                    </a:stretch>
                  </pic:blipFill>
                  <pic:spPr>
                    <a:xfrm>
                      <a:off x="0" y="0"/>
                      <a:ext cx="6120000" cy="2994429"/>
                    </a:xfrm>
                    <a:prstGeom prst="rect"/>
                  </pic:spPr>
                </pic:pic>
              </a:graphicData>
            </a:graphic>
          </wp:inline>
        </w:drawing>
      </w:r>
    </w:p>
    <w:p>
      <w:pPr>
        <w:spacing w:after="180" w:before="0"/>
        <w:jc w:val="center"/>
      </w:pPr>
      <w:r>
        <w:rPr>
          <w:b w:val="0"/>
          <w:i/>
          <w:color w:val="5A5A5A"/>
          <w:sz w:val="16"/>
        </w:rPr>
        <w:t>Figure 3 — The coverage state machine. Terminal states have no outgoing transitions.</w:t>
      </w:r>
    </w:p>
    <w:p>
      <w:pPr>
        <w:spacing w:after="60" w:before="80"/>
      </w:pPr>
      <w:r>
        <w:rPr>
          <w:b/>
          <w:i w:val="0"/>
          <w:color w:val="712D85"/>
          <w:sz w:val="22"/>
        </w:rPr>
        <w:t>6.1 Coverage is derived, not asserted</w:t>
      </w:r>
    </w:p>
    <w:p>
      <w:pPr>
        <w:spacing w:after="100" w:before="0"/>
      </w:pPr>
      <w:r>
        <w:rPr>
          <w:b w:val="0"/>
          <w:i w:val="0"/>
          <w:color w:val="1A1A1A"/>
          <w:sz w:val="19"/>
        </w:rPr>
        <w:t>A facet's state is computed from its checklist: all elements closed means answered, some means partial, none means pending, all ruled out means not applicable. The model cannot set answered or partial directly. This is the design's answer to a model that believes it has covered a topic — belief does not move the meter.</w:t>
      </w:r>
    </w:p>
    <w:p>
      <w:pPr>
        <w:spacing w:after="60" w:before="220"/>
      </w:pPr>
      <w:r>
        <w:rPr>
          <w:b/>
          <w:i w:val="0"/>
          <w:color w:val="712D85"/>
          <w:sz w:val="22"/>
        </w:rPr>
        <w:t>6.2 The one deliberate exception</w:t>
      </w:r>
    </w:p>
    <w:p>
      <w:pPr>
        <w:spacing w:after="100" w:before="0"/>
      </w:pPr>
      <w:r>
        <w:rPr>
          <w:b/>
          <w:color w:val="1A1A1A"/>
          <w:sz w:val="19"/>
        </w:rPr>
        <w:t xml:space="preserve">A facet may move from answered to unknown_to_informant. </w:t>
      </w:r>
      <w:r>
        <w:rPr>
          <w:b w:val="0"/>
          <w:color w:val="1A1A1A"/>
          <w:sz w:val="19"/>
        </w:rPr>
        <w:t>If the checklist derives “answered” but the informant then says the topic is not theirs to speak to, their word wins. Recorded as decision DL.58; discovered by an evaluation failure rather than reasoned in advance, which is why it is called out here.</w:t>
      </w:r>
    </w:p>
    <w:p>
      <w:pPr>
        <w:spacing w:after="60" w:before="220"/>
      </w:pPr>
      <w:r>
        <w:rPr>
          <w:b/>
          <w:i w:val="0"/>
          <w:color w:val="712D85"/>
          <w:sz w:val="22"/>
        </w:rPr>
        <w:t>6.3 Why “I don't know” is a first-class outcome</w:t>
      </w:r>
    </w:p>
    <w:p>
      <w:pPr>
        <w:spacing w:after="100" w:before="0"/>
      </w:pPr>
      <w:r>
        <w:rPr>
          <w:b w:val="0"/>
          <w:i w:val="0"/>
          <w:color w:val="1A1A1A"/>
          <w:sz w:val="19"/>
        </w:rPr>
        <w:t>A tool that cannot record ignorance pressures people into guessing, and a guess recorded as fact is worse than an acknowledged gap: it reaches ARIS and nobody can trace it. Both unknown_to_informant and not_applicable are terminal, legitimate, and rendered explicitly in the specification.</w:t>
      </w:r>
    </w:p>
    <w:p>
      <w:pPr>
        <w:spacing w:after="60" w:before="220"/>
      </w:pPr>
      <w:r>
        <w:rPr>
          <w:b/>
          <w:i w:val="0"/>
          <w:color w:val="712D85"/>
          <w:sz w:val="22"/>
        </w:rPr>
        <w:t>6.4 Pick-list facets</w:t>
      </w:r>
    </w:p>
    <w:p>
      <w:pPr>
        <w:spacing w:after="100" w:before="0"/>
      </w:pPr>
      <w:r>
        <w:rPr>
          <w:b w:val="0"/>
          <w:i w:val="0"/>
          <w:color w:val="1A1A1A"/>
          <w:sz w:val="19"/>
        </w:rPr>
        <w:t>Four facets whose answers are enumerable (systems, roles, documents and similar) are offered as pick-lists built from entities already registered in the campaign, each option carrying its source. Every pick-list keeps a free-text escape, because a closed list that cannot be escaped silently discards the case it did not anticipate. Selection is additive — there is no untick — so one informant cannot remove another's answer.</w:t>
      </w:r>
    </w:p>
    <w:p>
      <w:pPr>
        <w:spacing w:after="40" w:before="160"/>
      </w:pPr>
      <w:r>
        <w:rPr>
          <w:b/>
          <w:i w:val="0"/>
          <w:color w:val="451B4F"/>
          <w:sz w:val="28"/>
        </w:rPr>
        <w:t>7 · Detailed design — specification generation</w:t>
      </w:r>
    </w:p>
    <w:p>
      <w:pPr>
        <w:spacing w:after="80" w:before="0"/>
      </w:pPr>
      <w:r>
        <w:rPr>
          <w:b w:val="0"/>
          <w:i w:val="0"/>
          <w:color w:val="1A1A1A"/>
          <w:sz w:val="19"/>
        </w:rPr>
        <w:t>Generation is deliberately split so that the model contributes only prose:</w:t>
      </w:r>
    </w:p>
    <w:p>
      <w:pPr>
        <w:pStyle w:val="ListBullet"/>
        <w:spacing w:after="50" w:line="262" w:lineRule="auto"/>
        <w:ind w:left="340"/>
      </w:pPr>
      <w:r>
        <w:rPr>
          <w:b/>
          <w:color w:val="1A1A1A"/>
          <w:sz w:val="19"/>
        </w:rPr>
        <w:t xml:space="preserve">Frontmatter is built in code. </w:t>
      </w:r>
      <w:r>
        <w:rPr>
          <w:b w:val="0"/>
          <w:color w:val="1A1A1A"/>
          <w:sz w:val="19"/>
        </w:rPr>
        <w:t>Informant, role, process, dates, per-facet and per-element coverage, open items. The model never writes it, so it cannot omit or misstate it.</w:t>
      </w:r>
    </w:p>
    <w:p>
      <w:pPr>
        <w:pStyle w:val="ListBullet"/>
        <w:spacing w:after="50" w:line="262" w:lineRule="auto"/>
        <w:ind w:left="340"/>
      </w:pPr>
      <w:r>
        <w:rPr>
          <w:b/>
          <w:color w:val="1A1A1A"/>
          <w:sz w:val="19"/>
        </w:rPr>
        <w:t xml:space="preserve">Prose is drafted per facet, </w:t>
      </w:r>
      <w:r>
        <w:rPr>
          <w:b w:val="0"/>
          <w:color w:val="1A1A1A"/>
          <w:sz w:val="19"/>
        </w:rPr>
        <w:t>from that facet's statements only. A facet's section cannot be contaminated by material from another.</w:t>
      </w:r>
    </w:p>
    <w:p>
      <w:pPr>
        <w:pStyle w:val="ListBullet"/>
        <w:spacing w:after="100" w:line="262" w:lineRule="auto"/>
        <w:ind w:left="340"/>
      </w:pPr>
      <w:r>
        <w:rPr>
          <w:b/>
          <w:color w:val="1A1A1A"/>
          <w:sz w:val="19"/>
        </w:rPr>
        <w:t xml:space="preserve">The result is validated </w:t>
      </w:r>
      <w:r>
        <w:rPr>
          <w:b w:val="0"/>
          <w:color w:val="1A1A1A"/>
          <w:sz w:val="19"/>
        </w:rPr>
        <w:t>against a schema. An invalid specification is a hard failure that blocks completion — not a warning.</w:t>
      </w:r>
    </w:p>
    <w:p>
      <w:pPr>
        <w:spacing w:after="100" w:before="0"/>
      </w:pPr>
      <w:r>
        <w:rPr>
          <w:b/>
          <w:color w:val="1A1A1A"/>
          <w:sz w:val="19"/>
        </w:rPr>
        <w:t xml:space="preserve">Provenance is structural (P4). </w:t>
      </w:r>
      <w:r>
        <w:rPr>
          <w:b w:val="0"/>
          <w:color w:val="1A1A1A"/>
          <w:sz w:val="19"/>
        </w:rPr>
        <w:t>Attribution markers are emitted by the renderer. We do not ask the model to remember to attribute statements, because a prompt is a request and this is a requirement.</w:t>
      </w:r>
    </w:p>
    <w:p>
      <w:pPr>
        <w:spacing w:after="100" w:before="0"/>
      </w:pPr>
      <w:r>
        <w:rPr>
          <w:b/>
          <w:color w:val="1A1A1A"/>
          <w:sz w:val="19"/>
        </w:rPr>
        <w:t xml:space="preserve">Presentation and format are separate concerns. </w:t>
      </w:r>
      <w:r>
        <w:rPr>
          <w:b w:val="0"/>
          <w:color w:val="1A1A1A"/>
          <w:sz w:val="19"/>
        </w:rPr>
        <w:t>The specification renders as a formatted document in the console for reading, and downloads as the same Markdown for handover. One source, two presentations.</w:t>
      </w:r>
    </w:p>
    <w:p>
      <w:pPr>
        <w:spacing w:after="40" w:before="160"/>
      </w:pPr>
      <w:r>
        <w:rPr>
          <w:b/>
          <w:i w:val="0"/>
          <w:color w:val="451B4F"/>
          <w:sz w:val="28"/>
        </w:rPr>
        <w:t>8 · Detailed design — analysis and the verification gate</w:t>
      </w:r>
    </w:p>
    <w:p>
      <w:pPr>
        <w:spacing w:before="100" w:after="40"/>
        <w:jc w:val="center"/>
      </w:pPr>
      <w:r>
        <w:drawing>
          <wp:inline xmlns:a="http://schemas.openxmlformats.org/drawingml/2006/main" xmlns:pic="http://schemas.openxmlformats.org/drawingml/2006/picture">
            <wp:extent cx="6120000" cy="2732143"/>
            <wp:docPr id="4" name="Picture 4"/>
            <wp:cNvGraphicFramePr>
              <a:graphicFrameLocks noChangeAspect="1"/>
            </wp:cNvGraphicFramePr>
            <a:graphic>
              <a:graphicData uri="http://schemas.openxmlformats.org/drawingml/2006/picture">
                <pic:pic>
                  <pic:nvPicPr>
                    <pic:cNvPr id="0" name="arch-pipeline.png"/>
                    <pic:cNvPicPr/>
                  </pic:nvPicPr>
                  <pic:blipFill>
                    <a:blip r:embed="rId12"/>
                    <a:stretch>
                      <a:fillRect/>
                    </a:stretch>
                  </pic:blipFill>
                  <pic:spPr>
                    <a:xfrm>
                      <a:off x="0" y="0"/>
                      <a:ext cx="6120000" cy="2732143"/>
                    </a:xfrm>
                    <a:prstGeom prst="rect"/>
                  </pic:spPr>
                </pic:pic>
              </a:graphicData>
            </a:graphic>
          </wp:inline>
        </w:drawing>
      </w:r>
    </w:p>
    <w:p>
      <w:pPr>
        <w:spacing w:after="180" w:before="0"/>
        <w:jc w:val="center"/>
      </w:pPr>
      <w:r>
        <w:rPr>
          <w:b w:val="0"/>
          <w:i/>
          <w:color w:val="5A5A5A"/>
          <w:sz w:val="16"/>
        </w:rPr>
        <w:t>Figure 4 — The specification passes straight through. Every downstream claim is gated.</w:t>
      </w:r>
    </w:p>
    <w:p>
      <w:pPr>
        <w:spacing w:after="60" w:before="80"/>
      </w:pPr>
      <w:r>
        <w:rPr>
          <w:b/>
          <w:i w:val="0"/>
          <w:color w:val="712D85"/>
          <w:sz w:val="22"/>
        </w:rPr>
        <w:t>8.1 The distinction the design rests on</w:t>
      </w:r>
    </w:p>
    <w:p>
      <w:pPr>
        <w:spacing w:after="100" w:before="0"/>
      </w:pPr>
      <w:r>
        <w:rPr>
          <w:b w:val="0"/>
          <w:i w:val="0"/>
          <w:color w:val="1A1A1A"/>
          <w:sz w:val="19"/>
        </w:rPr>
        <w:t>The specification is testimony — what a person said about their own job, attributed to them. It needs no approval to be useful. Everything downstream is interpretation: a process map is a reading, a to-be map is a claim about how work should change, and an automation label is a claim about somebody's job. These are proposals and the system marks them so.</w:t>
      </w:r>
    </w:p>
    <w:p>
      <w:pPr>
        <w:spacing w:after="60" w:before="220"/>
      </w:pPr>
      <w:r>
        <w:rPr>
          <w:b/>
          <w:i w:val="0"/>
          <w:color w:val="712D85"/>
          <w:sz w:val="22"/>
        </w:rPr>
        <w:t>8.2 Generation constraints</w:t>
      </w:r>
    </w:p>
    <w:p>
      <w:pPr>
        <w:pStyle w:val="ListBullet"/>
        <w:spacing w:after="50" w:line="262" w:lineRule="auto"/>
        <w:ind w:left="340"/>
      </w:pPr>
      <w:r>
        <w:rPr>
          <w:b/>
          <w:color w:val="1A1A1A"/>
          <w:sz w:val="19"/>
        </w:rPr>
        <w:t xml:space="preserve">Structure and evidence are extracted in two passes. </w:t>
      </w:r>
      <w:r>
        <w:rPr>
          <w:b w:val="0"/>
          <w:color w:val="1A1A1A"/>
          <w:sz w:val="19"/>
        </w:rPr>
        <w:t>A single pass reliably produced structure and no evidence; splitting them took a real specification from zero to fourteen evidenced annotations.</w:t>
      </w:r>
    </w:p>
    <w:p>
      <w:pPr>
        <w:pStyle w:val="ListBullet"/>
        <w:spacing w:after="50" w:line="262" w:lineRule="auto"/>
        <w:ind w:left="340"/>
      </w:pPr>
      <w:r>
        <w:rPr>
          <w:b/>
          <w:color w:val="1A1A1A"/>
          <w:sz w:val="19"/>
        </w:rPr>
        <w:t xml:space="preserve">Every to-be change must resolve an evidenced bottleneck. </w:t>
      </w:r>
      <w:r>
        <w:rPr>
          <w:b w:val="0"/>
          <w:color w:val="1A1A1A"/>
          <w:sz w:val="19"/>
        </w:rPr>
        <w:t>No evidence means an empty change-set and no model call at all — the system declines to invent improvements.</w:t>
      </w:r>
    </w:p>
    <w:p>
      <w:pPr>
        <w:pStyle w:val="ListBullet"/>
        <w:spacing w:after="50" w:line="262" w:lineRule="auto"/>
        <w:ind w:left="340"/>
      </w:pPr>
      <w:r>
        <w:rPr>
          <w:b/>
          <w:color w:val="1A1A1A"/>
          <w:sz w:val="19"/>
        </w:rPr>
        <w:t xml:space="preserve">No confident automation label without cited evidence. </w:t>
      </w:r>
      <w:r>
        <w:rPr>
          <w:b w:val="0"/>
          <w:color w:val="1A1A1A"/>
          <w:sz w:val="19"/>
        </w:rPr>
        <w:t>Only “unclassified” may cite nothing, and it must say what is missing. On failure the retry instructs the model to downgrade rather than fabricate a citation.</w:t>
      </w:r>
    </w:p>
    <w:p>
      <w:pPr>
        <w:pStyle w:val="ListBullet"/>
        <w:spacing w:after="100" w:line="262" w:lineRule="auto"/>
        <w:ind w:left="340"/>
      </w:pPr>
      <w:r>
        <w:rPr>
          <w:b/>
          <w:color w:val="1A1A1A"/>
          <w:sz w:val="19"/>
        </w:rPr>
        <w:t xml:space="preserve">Lineage is mandatory. </w:t>
      </w:r>
      <w:r>
        <w:rPr>
          <w:b w:val="0"/>
          <w:color w:val="1A1A1A"/>
          <w:sz w:val="19"/>
        </w:rPr>
        <w:t>Every graph element carries the facet it came from, so any node on any diagram traces back to a statement.</w:t>
      </w:r>
    </w:p>
    <w:p>
      <w:pPr>
        <w:spacing w:after="60" w:before="220"/>
      </w:pPr>
      <w:r>
        <w:rPr>
          <w:b/>
          <w:i w:val="0"/>
          <w:color w:val="712D85"/>
          <w:sz w:val="22"/>
        </w:rPr>
        <w:t>8.3 The verification gate</w:t>
      </w:r>
    </w:p>
    <w:tbl>
      <w:tblPr>
        <w:tblW w:type="auto" w:w="0"/>
        <w:jc w:val="left"/>
        <w:tblLayout w:type="fixed"/>
        <w:tblLook w:firstColumn="1" w:firstRow="1" w:lastColumn="0" w:lastRow="0" w:noHBand="0" w:noVBand="1" w:val="04A0"/>
      </w:tblPr>
      <w:tblGrid>
        <w:gridCol w:w="4986"/>
        <w:gridCol w:w="4986"/>
      </w:tblGrid>
      <w:tr>
        <w:tc>
          <w:tcPr>
            <w:tcW w:type="dxa" w:w="3628"/>
            <w:shd w:val="clear" w:fill="712D85"/>
          </w:tcPr>
          <w:p>
            <w:pPr>
              <w:spacing w:after="30" w:before="30" w:line="240" w:lineRule="auto"/>
            </w:pPr>
            <w:r>
              <w:rPr>
                <w:b/>
                <w:color w:val="FFFFFF"/>
                <w:sz w:val="17"/>
              </w:rPr>
              <w:t>Rule</w:t>
            </w:r>
          </w:p>
        </w:tc>
        <w:tc>
          <w:tcPr>
            <w:tcW w:type="dxa" w:w="6009"/>
            <w:shd w:val="clear" w:fill="712D85"/>
          </w:tcPr>
          <w:p>
            <w:pPr>
              <w:spacing w:after="30" w:before="30" w:line="240" w:lineRule="auto"/>
            </w:pPr>
            <w:r>
              <w:rPr>
                <w:b/>
                <w:color w:val="FFFFFF"/>
                <w:sz w:val="17"/>
              </w:rPr>
              <w:t>Rationale</w:t>
            </w:r>
          </w:p>
        </w:tc>
      </w:tr>
      <w:tr>
        <w:tc>
          <w:tcPr>
            <w:tcW w:type="dxa" w:w="3628"/>
            <w:shd w:val="clear" w:fill="FFFFFF"/>
          </w:tcPr>
          <w:p>
            <w:pPr>
              <w:spacing w:after="30" w:before="30" w:line="240" w:lineRule="auto"/>
            </w:pPr>
            <w:r>
              <w:rPr>
                <w:b/>
                <w:color w:val="1A1A1A"/>
                <w:sz w:val="17"/>
              </w:rPr>
              <w:t>Per item, never in bulk. No “approve all”.</w:t>
            </w:r>
          </w:p>
        </w:tc>
        <w:tc>
          <w:tcPr>
            <w:tcW w:type="dxa" w:w="6009"/>
            <w:shd w:val="clear" w:fill="FFFFFF"/>
          </w:tcPr>
          <w:p>
            <w:pPr>
              <w:spacing w:after="30" w:before="30" w:line="240" w:lineRule="auto"/>
            </w:pPr>
            <w:r>
              <w:rPr>
                <w:color w:val="1A1A1A"/>
                <w:sz w:val="17"/>
              </w:rPr>
              <w:t>Approving four and rejecting a fifth is the normal outcome. A single button makes the gate a formality.</w:t>
            </w:r>
          </w:p>
        </w:tc>
      </w:tr>
      <w:tr>
        <w:tc>
          <w:tcPr>
            <w:tcW w:type="dxa" w:w="3628"/>
            <w:shd w:val="clear" w:fill="FFFFFF"/>
          </w:tcPr>
          <w:p>
            <w:pPr>
              <w:spacing w:after="30" w:before="30" w:line="240" w:lineRule="auto"/>
            </w:pPr>
            <w:r>
              <w:rPr>
                <w:b/>
                <w:color w:val="1A1A1A"/>
                <w:sz w:val="17"/>
              </w:rPr>
              <w:t>Three verdicts: approve, edit, reject.</w:t>
            </w:r>
          </w:p>
        </w:tc>
        <w:tc>
          <w:tcPr>
            <w:tcW w:type="dxa" w:w="6009"/>
            <w:shd w:val="clear" w:fill="FFFFFF"/>
          </w:tcPr>
          <w:p>
            <w:pPr>
              <w:spacing w:after="30" w:before="30" w:line="240" w:lineRule="auto"/>
            </w:pPr>
            <w:r>
              <w:rPr>
                <w:color w:val="1A1A1A"/>
                <w:sz w:val="17"/>
              </w:rPr>
              <w:t>Reviewers need to reword without accepting wholesale.</w:t>
            </w:r>
          </w:p>
        </w:tc>
      </w:tr>
      <w:tr>
        <w:tc>
          <w:tcPr>
            <w:tcW w:type="dxa" w:w="3628"/>
            <w:shd w:val="clear" w:fill="FFFFFF"/>
          </w:tcPr>
          <w:p>
            <w:pPr>
              <w:spacing w:after="30" w:before="30" w:line="240" w:lineRule="auto"/>
            </w:pPr>
            <w:r>
              <w:rPr>
                <w:b/>
                <w:color w:val="1A1A1A"/>
                <w:sz w:val="17"/>
              </w:rPr>
              <w:t>An edit changes wording, never the evidence link.</w:t>
            </w:r>
          </w:p>
        </w:tc>
        <w:tc>
          <w:tcPr>
            <w:tcW w:type="dxa" w:w="6009"/>
            <w:shd w:val="clear" w:fill="FFFFFF"/>
          </w:tcPr>
          <w:p>
            <w:pPr>
              <w:spacing w:after="30" w:before="30" w:line="240" w:lineRule="auto"/>
            </w:pPr>
            <w:r>
              <w:rPr>
                <w:color w:val="1A1A1A"/>
                <w:sz w:val="17"/>
              </w:rPr>
              <w:t>Rewording is legitimate; quietly re-aiming a proposal at different evidence is a different change.</w:t>
            </w:r>
          </w:p>
        </w:tc>
      </w:tr>
      <w:tr>
        <w:tc>
          <w:tcPr>
            <w:tcW w:type="dxa" w:w="3628"/>
            <w:shd w:val="clear" w:fill="FFFFFF"/>
          </w:tcPr>
          <w:p>
            <w:pPr>
              <w:spacing w:after="30" w:before="30" w:line="240" w:lineRule="auto"/>
            </w:pPr>
            <w:r>
              <w:rPr>
                <w:b/>
                <w:color w:val="1A1A1A"/>
                <w:sz w:val="17"/>
              </w:rPr>
              <w:t>Rejected items leave the diagram, stay on the record.</w:t>
            </w:r>
          </w:p>
        </w:tc>
        <w:tc>
          <w:tcPr>
            <w:tcW w:type="dxa" w:w="6009"/>
            <w:shd w:val="clear" w:fill="FFFFFF"/>
          </w:tcPr>
          <w:p>
            <w:pPr>
              <w:spacing w:after="30" w:before="30" w:line="240" w:lineRule="auto"/>
            </w:pPr>
            <w:r>
              <w:rPr>
                <w:color w:val="1A1A1A"/>
                <w:sz w:val="17"/>
              </w:rPr>
              <w:t>The fact that a reviewer disagreed is itself evidence worth keeping.</w:t>
            </w:r>
          </w:p>
        </w:tc>
      </w:tr>
      <w:tr>
        <w:tc>
          <w:tcPr>
            <w:tcW w:type="dxa" w:w="3628"/>
            <w:shd w:val="clear" w:fill="FFFFFF"/>
          </w:tcPr>
          <w:p>
            <w:pPr>
              <w:spacing w:after="30" w:before="30" w:line="240" w:lineRule="auto"/>
            </w:pPr>
            <w:r>
              <w:rPr>
                <w:b/>
                <w:color w:val="1A1A1A"/>
                <w:sz w:val="17"/>
              </w:rPr>
              <w:t>Nothing unverified reaches a handover report.</w:t>
            </w:r>
          </w:p>
        </w:tc>
        <w:tc>
          <w:tcPr>
            <w:tcW w:type="dxa" w:w="6009"/>
            <w:shd w:val="clear" w:fill="FFFFFF"/>
          </w:tcPr>
          <w:p>
            <w:pPr>
              <w:spacing w:after="30" w:before="30" w:line="240" w:lineRule="auto"/>
            </w:pPr>
            <w:r>
              <w:rPr>
                <w:color w:val="1A1A1A"/>
                <w:sz w:val="17"/>
              </w:rPr>
              <w:t>One module owns the definition of “verified”, so UI, export and future reports cannot disagree.</w:t>
            </w:r>
          </w:p>
        </w:tc>
      </w:tr>
      <w:tr>
        <w:tc>
          <w:tcPr>
            <w:tcW w:type="dxa" w:w="3628"/>
            <w:shd w:val="clear" w:fill="FFFFFF"/>
          </w:tcPr>
          <w:p>
            <w:pPr>
              <w:spacing w:after="30" w:before="30" w:line="240" w:lineRule="auto"/>
            </w:pPr>
            <w:r>
              <w:rPr>
                <w:b/>
                <w:color w:val="1A1A1A"/>
                <w:sz w:val="17"/>
              </w:rPr>
              <w:t>Reviewer edits are retained as evaluation signal.</w:t>
            </w:r>
          </w:p>
        </w:tc>
        <w:tc>
          <w:tcPr>
            <w:tcW w:type="dxa" w:w="6009"/>
            <w:shd w:val="clear" w:fill="FFFFFF"/>
          </w:tcPr>
          <w:p>
            <w:pPr>
              <w:spacing w:after="30" w:before="30" w:line="240" w:lineRule="auto"/>
            </w:pPr>
            <w:r>
              <w:rPr>
                <w:color w:val="1A1A1A"/>
                <w:sz w:val="17"/>
              </w:rPr>
              <w:t>What was proposed against what a human made of it is the feedback that improves the generator.</w:t>
            </w:r>
          </w:p>
        </w:tc>
      </w:tr>
    </w:tbl>
    <w:p>
      <w:pPr>
        <w:spacing w:after="80" w:before="0"/>
      </w:pPr>
    </w:p>
    <w:p>
      <w:pPr>
        <w:spacing w:after="100" w:before="0"/>
      </w:pPr>
      <w:r>
        <w:rPr>
          <w:b/>
          <w:color w:val="1A1A1A"/>
          <w:sz w:val="19"/>
        </w:rPr>
        <w:t xml:space="preserve">Reviewer identity is honest about its limits. </w:t>
      </w:r>
      <w:r>
        <w:rPr>
          <w:b w:val="0"/>
          <w:color w:val="1A1A1A"/>
          <w:sz w:val="19"/>
        </w:rPr>
        <w:t>The console is a single shared login, so reviews are attributed to “console admin”. That is the true attribution available today rather than an invented name. Per-reviewer identity needs user accounts; the column exists and its shape does not change when they arrive.</w:t>
      </w:r>
    </w:p>
    <w:p>
      <w:r>
        <w:br w:type="page"/>
      </w:r>
    </w:p>
    <w:p>
      <w:pPr>
        <w:spacing w:after="40" w:before="0"/>
      </w:pPr>
      <w:r>
        <w:rPr>
          <w:b/>
          <w:i w:val="0"/>
          <w:color w:val="451B4F"/>
          <w:sz w:val="28"/>
        </w:rPr>
        <w:t>9 · Data design</w:t>
      </w:r>
    </w:p>
    <w:p>
      <w:pPr>
        <w:spacing w:before="100" w:after="40"/>
        <w:jc w:val="center"/>
      </w:pPr>
      <w:r>
        <w:drawing>
          <wp:inline xmlns:a="http://schemas.openxmlformats.org/drawingml/2006/main" xmlns:pic="http://schemas.openxmlformats.org/drawingml/2006/picture">
            <wp:extent cx="6120000" cy="3278571"/>
            <wp:docPr id="5" name="Picture 5"/>
            <wp:cNvGraphicFramePr>
              <a:graphicFrameLocks noChangeAspect="1"/>
            </wp:cNvGraphicFramePr>
            <a:graphic>
              <a:graphicData uri="http://schemas.openxmlformats.org/drawingml/2006/picture">
                <pic:pic>
                  <pic:nvPicPr>
                    <pic:cNvPr id="0" name="arch-data.png"/>
                    <pic:cNvPicPr/>
                  </pic:nvPicPr>
                  <pic:blipFill>
                    <a:blip r:embed="rId13"/>
                    <a:stretch>
                      <a:fillRect/>
                    </a:stretch>
                  </pic:blipFill>
                  <pic:spPr>
                    <a:xfrm>
                      <a:off x="0" y="0"/>
                      <a:ext cx="6120000" cy="3278571"/>
                    </a:xfrm>
                    <a:prstGeom prst="rect"/>
                  </pic:spPr>
                </pic:pic>
              </a:graphicData>
            </a:graphic>
          </wp:inline>
        </w:drawing>
      </w:r>
    </w:p>
    <w:p>
      <w:pPr>
        <w:spacing w:after="180" w:before="0"/>
        <w:jc w:val="center"/>
      </w:pPr>
      <w:r>
        <w:rPr>
          <w:b w:val="0"/>
          <w:i/>
          <w:color w:val="5A5A5A"/>
          <w:sz w:val="16"/>
        </w:rPr>
        <w:t>Figure 5 — Fourteen tables. Identity is quarantined in the register.</w:t>
      </w:r>
    </w:p>
    <w:p>
      <w:pPr>
        <w:spacing w:after="60" w:before="80"/>
      </w:pPr>
      <w:r>
        <w:rPr>
          <w:b/>
          <w:i w:val="0"/>
          <w:color w:val="712D85"/>
          <w:sz w:val="22"/>
        </w:rPr>
        <w:t>9.1 Design rules</w:t>
      </w:r>
    </w:p>
    <w:p>
      <w:pPr>
        <w:pStyle w:val="ListBullet"/>
        <w:spacing w:after="50" w:line="262" w:lineRule="auto"/>
        <w:ind w:left="340"/>
      </w:pPr>
      <w:r>
        <w:rPr>
          <w:b/>
          <w:color w:val="1A1A1A"/>
          <w:sz w:val="19"/>
        </w:rPr>
        <w:t xml:space="preserve">Append-only where it matters. </w:t>
      </w:r>
      <w:r>
        <w:rPr>
          <w:b w:val="0"/>
          <w:color w:val="1A1A1A"/>
          <w:sz w:val="19"/>
        </w:rPr>
        <w:t>Turns and statements are never updated or deleted; a correction inserts a superseding row. Costs storage, buys a complete auditable record.</w:t>
      </w:r>
    </w:p>
    <w:p>
      <w:pPr>
        <w:pStyle w:val="ListBullet"/>
        <w:spacing w:after="50" w:line="262" w:lineRule="auto"/>
        <w:ind w:left="340"/>
      </w:pPr>
      <w:r>
        <w:rPr>
          <w:b/>
          <w:color w:val="1A1A1A"/>
          <w:sz w:val="19"/>
        </w:rPr>
        <w:t xml:space="preserve">Identity is quarantined. </w:t>
      </w:r>
      <w:r>
        <w:rPr>
          <w:b w:val="0"/>
          <w:color w:val="1A1A1A"/>
          <w:sz w:val="19"/>
        </w:rPr>
        <w:t>Email addresses exist only in the interviewees register. Specifications carry name and role for attribution and never the email address, enforced in the renderer.</w:t>
      </w:r>
    </w:p>
    <w:p>
      <w:pPr>
        <w:pStyle w:val="ListBullet"/>
        <w:spacing w:after="50" w:line="262" w:lineRule="auto"/>
        <w:ind w:left="340"/>
      </w:pPr>
      <w:r>
        <w:rPr>
          <w:b/>
          <w:color w:val="1A1A1A"/>
          <w:sz w:val="19"/>
        </w:rPr>
        <w:t xml:space="preserve">Analysis is versioned against its source. </w:t>
      </w:r>
      <w:r>
        <w:rPr>
          <w:b w:val="0"/>
          <w:color w:val="1A1A1A"/>
          <w:sz w:val="19"/>
        </w:rPr>
        <w:t>Graphs and reviews are keyed by session and specification version, so a diagram always traces to the exact document it came from.</w:t>
      </w:r>
    </w:p>
    <w:p>
      <w:pPr>
        <w:pStyle w:val="ListBullet"/>
        <w:spacing w:after="100" w:line="262" w:lineRule="auto"/>
        <w:ind w:left="340"/>
      </w:pPr>
      <w:r>
        <w:rPr>
          <w:b/>
          <w:color w:val="1A1A1A"/>
          <w:sz w:val="19"/>
        </w:rPr>
        <w:t xml:space="preserve">One coverage row per session per facet, </w:t>
      </w:r>
      <w:r>
        <w:rPr>
          <w:b w:val="0"/>
          <w:color w:val="1A1A1A"/>
          <w:sz w:val="19"/>
        </w:rPr>
        <w:t>and one element row per session per element. State is relational, not a serialised blob, so it can be queried and constrained.</w:t>
      </w:r>
    </w:p>
    <w:p>
      <w:pPr>
        <w:spacing w:after="60" w:before="220"/>
      </w:pPr>
      <w:r>
        <w:rPr>
          <w:b/>
          <w:i w:val="0"/>
          <w:color w:val="712D85"/>
          <w:sz w:val="22"/>
        </w:rPr>
        <w:t>9.2 Portability</w:t>
      </w:r>
    </w:p>
    <w:p>
      <w:pPr>
        <w:spacing w:after="100" w:before="0"/>
      </w:pPr>
      <w:r>
        <w:rPr>
          <w:b w:val="0"/>
          <w:i w:val="0"/>
          <w:color w:val="1A1A1A"/>
          <w:sz w:val="19"/>
        </w:rPr>
        <w:t>The schema is written to standard relational constructs. The system began on SQLite and was migrated to PostgreSQL; that migration is complete and the SQLite path has been removed. A non-Postgres connection string is now refused at startup with an explanatory error rather than failing obscurely at first query.</w:t>
      </w:r>
    </w:p>
    <w:p>
      <w:pPr>
        <w:spacing w:after="40" w:before="160"/>
      </w:pPr>
      <w:r>
        <w:rPr>
          <w:b/>
          <w:i w:val="0"/>
          <w:color w:val="451B4F"/>
          <w:sz w:val="28"/>
        </w:rPr>
        <w:t>10 · Interface design</w:t>
      </w:r>
    </w:p>
    <w:p>
      <w:pPr>
        <w:spacing w:after="60" w:before="120"/>
      </w:pPr>
      <w:r>
        <w:rPr>
          <w:b/>
          <w:i w:val="0"/>
          <w:color w:val="712D85"/>
          <w:sz w:val="22"/>
        </w:rPr>
        <w:t>10.1 External interfaces</w:t>
      </w:r>
    </w:p>
    <w:tbl>
      <w:tblPr>
        <w:tblW w:type="auto" w:w="0"/>
        <w:jc w:val="left"/>
        <w:tblLayout w:type="fixed"/>
        <w:tblLook w:firstColumn="1" w:firstRow="1" w:lastColumn="0" w:lastRow="0" w:noHBand="0" w:noVBand="1" w:val="04A0"/>
      </w:tblPr>
      <w:tblGrid>
        <w:gridCol w:w="3324"/>
        <w:gridCol w:w="3324"/>
        <w:gridCol w:w="3324"/>
      </w:tblGrid>
      <w:tr>
        <w:tc>
          <w:tcPr>
            <w:tcW w:type="dxa" w:w="1701"/>
            <w:shd w:val="clear" w:fill="712D85"/>
          </w:tcPr>
          <w:p>
            <w:pPr>
              <w:spacing w:after="30" w:before="30" w:line="240" w:lineRule="auto"/>
            </w:pPr>
            <w:r>
              <w:rPr>
                <w:b/>
                <w:color w:val="FFFFFF"/>
                <w:sz w:val="17"/>
              </w:rPr>
              <w:t>Interface</w:t>
            </w:r>
          </w:p>
        </w:tc>
        <w:tc>
          <w:tcPr>
            <w:tcW w:type="dxa" w:w="2154"/>
            <w:shd w:val="clear" w:fill="712D85"/>
          </w:tcPr>
          <w:p>
            <w:pPr>
              <w:spacing w:after="30" w:before="30" w:line="240" w:lineRule="auto"/>
            </w:pPr>
            <w:r>
              <w:rPr>
                <w:b/>
                <w:color w:val="FFFFFF"/>
                <w:sz w:val="17"/>
              </w:rPr>
              <w:t>Direction</w:t>
            </w:r>
          </w:p>
        </w:tc>
        <w:tc>
          <w:tcPr>
            <w:tcW w:type="dxa" w:w="5783"/>
            <w:shd w:val="clear" w:fill="712D85"/>
          </w:tcPr>
          <w:p>
            <w:pPr>
              <w:spacing w:after="30" w:before="30" w:line="240" w:lineRule="auto"/>
            </w:pPr>
            <w:r>
              <w:rPr>
                <w:b/>
                <w:color w:val="FFFFFF"/>
                <w:sz w:val="17"/>
              </w:rPr>
              <w:t>Notes</w:t>
            </w:r>
          </w:p>
        </w:tc>
      </w:tr>
      <w:tr>
        <w:tc>
          <w:tcPr>
            <w:tcW w:type="dxa" w:w="1701"/>
            <w:shd w:val="clear" w:fill="FFFFFF"/>
          </w:tcPr>
          <w:p>
            <w:pPr>
              <w:spacing w:after="30" w:before="30" w:line="240" w:lineRule="auto"/>
            </w:pPr>
            <w:r>
              <w:rPr>
                <w:b/>
                <w:color w:val="1A1A1A"/>
                <w:sz w:val="17"/>
              </w:rPr>
              <w:t>Model API</w:t>
            </w:r>
          </w:p>
        </w:tc>
        <w:tc>
          <w:tcPr>
            <w:tcW w:type="dxa" w:w="2154"/>
            <w:shd w:val="clear" w:fill="FFFFFF"/>
          </w:tcPr>
          <w:p>
            <w:pPr>
              <w:spacing w:after="30" w:before="30" w:line="240" w:lineRule="auto"/>
            </w:pPr>
            <w:r>
              <w:rPr>
                <w:color w:val="1A1A1A"/>
                <w:sz w:val="17"/>
              </w:rPr>
              <w:t>Outbound, server-side only</w:t>
            </w:r>
          </w:p>
        </w:tc>
        <w:tc>
          <w:tcPr>
            <w:tcW w:type="dxa" w:w="5783"/>
            <w:shd w:val="clear" w:fill="FFFFFF"/>
          </w:tcPr>
          <w:p>
            <w:pPr>
              <w:spacing w:after="30" w:before="30" w:line="240" w:lineRule="auto"/>
            </w:pPr>
            <w:r>
              <w:rPr>
                <w:color w:val="1A1A1A"/>
                <w:sz w:val="17"/>
              </w:rPr>
              <w:t>Interview turns, facet drafting, graph extraction, classification. Retries with backoff; a failed call returns 502 and the informant's answer is preserved.</w:t>
            </w:r>
          </w:p>
        </w:tc>
      </w:tr>
      <w:tr>
        <w:tc>
          <w:tcPr>
            <w:tcW w:type="dxa" w:w="1701"/>
            <w:shd w:val="clear" w:fill="FFFFFF"/>
          </w:tcPr>
          <w:p>
            <w:pPr>
              <w:spacing w:after="30" w:before="30" w:line="240" w:lineRule="auto"/>
            </w:pPr>
            <w:r>
              <w:rPr>
                <w:b/>
                <w:color w:val="1A1A1A"/>
                <w:sz w:val="17"/>
              </w:rPr>
              <w:t>Speech-to-text</w:t>
            </w:r>
          </w:p>
        </w:tc>
        <w:tc>
          <w:tcPr>
            <w:tcW w:type="dxa" w:w="2154"/>
            <w:shd w:val="clear" w:fill="FFFFFF"/>
          </w:tcPr>
          <w:p>
            <w:pPr>
              <w:spacing w:after="30" w:before="30" w:line="240" w:lineRule="auto"/>
            </w:pPr>
            <w:r>
              <w:rPr>
                <w:color w:val="1A1A1A"/>
                <w:sz w:val="17"/>
              </w:rPr>
              <w:t>Outbound, optional</w:t>
            </w:r>
          </w:p>
        </w:tc>
        <w:tc>
          <w:tcPr>
            <w:tcW w:type="dxa" w:w="5783"/>
            <w:shd w:val="clear" w:fill="FFFFFF"/>
          </w:tcPr>
          <w:p>
            <w:pPr>
              <w:spacing w:after="30" w:before="30" w:line="240" w:lineRule="auto"/>
            </w:pPr>
            <w:r>
              <w:rPr>
                <w:color w:val="1A1A1A"/>
                <w:sz w:val="17"/>
              </w:rPr>
              <w:t>Voice input only. Absent key means the microphone is not offered; the interview is fully usable by typing.</w:t>
            </w:r>
          </w:p>
        </w:tc>
      </w:tr>
      <w:tr>
        <w:tc>
          <w:tcPr>
            <w:tcW w:type="dxa" w:w="1701"/>
            <w:shd w:val="clear" w:fill="FFFFFF"/>
          </w:tcPr>
          <w:p>
            <w:pPr>
              <w:spacing w:after="30" w:before="30" w:line="240" w:lineRule="auto"/>
            </w:pPr>
            <w:r>
              <w:rPr>
                <w:b/>
                <w:color w:val="1A1A1A"/>
                <w:sz w:val="17"/>
              </w:rPr>
              <w:t>Database</w:t>
            </w:r>
          </w:p>
        </w:tc>
        <w:tc>
          <w:tcPr>
            <w:tcW w:type="dxa" w:w="2154"/>
            <w:shd w:val="clear" w:fill="FFFFFF"/>
          </w:tcPr>
          <w:p>
            <w:pPr>
              <w:spacing w:after="30" w:before="30" w:line="240" w:lineRule="auto"/>
            </w:pPr>
            <w:r>
              <w:rPr>
                <w:color w:val="1A1A1A"/>
                <w:sz w:val="17"/>
              </w:rPr>
              <w:t>Outbound</w:t>
            </w:r>
          </w:p>
        </w:tc>
        <w:tc>
          <w:tcPr>
            <w:tcW w:type="dxa" w:w="5783"/>
            <w:shd w:val="clear" w:fill="FFFFFF"/>
          </w:tcPr>
          <w:p>
            <w:pPr>
              <w:spacing w:after="30" w:before="30" w:line="240" w:lineRule="auto"/>
            </w:pPr>
            <w:r>
              <w:rPr>
                <w:color w:val="1A1A1A"/>
                <w:sz w:val="17"/>
              </w:rPr>
              <w:t>PostgreSQL over a private address. Small connection pool per instance.</w:t>
            </w:r>
          </w:p>
        </w:tc>
      </w:tr>
      <w:tr>
        <w:tc>
          <w:tcPr>
            <w:tcW w:type="dxa" w:w="1701"/>
            <w:shd w:val="clear" w:fill="FFFFFF"/>
          </w:tcPr>
          <w:p>
            <w:pPr>
              <w:spacing w:after="30" w:before="30" w:line="240" w:lineRule="auto"/>
            </w:pPr>
            <w:r>
              <w:rPr>
                <w:b/>
                <w:color w:val="1A1A1A"/>
                <w:sz w:val="17"/>
              </w:rPr>
              <w:t>Health</w:t>
            </w:r>
          </w:p>
        </w:tc>
        <w:tc>
          <w:tcPr>
            <w:tcW w:type="dxa" w:w="2154"/>
            <w:shd w:val="clear" w:fill="FFFFFF"/>
          </w:tcPr>
          <w:p>
            <w:pPr>
              <w:spacing w:after="30" w:before="30" w:line="240" w:lineRule="auto"/>
            </w:pPr>
            <w:r>
              <w:rPr>
                <w:color w:val="1A1A1A"/>
                <w:sz w:val="17"/>
              </w:rPr>
              <w:t>Inbound</w:t>
            </w:r>
          </w:p>
        </w:tc>
        <w:tc>
          <w:tcPr>
            <w:tcW w:type="dxa" w:w="5783"/>
            <w:shd w:val="clear" w:fill="FFFFFF"/>
          </w:tcPr>
          <w:p>
            <w:pPr>
              <w:spacing w:after="30" w:before="30" w:line="240" w:lineRule="auto"/>
            </w:pPr>
            <w:r>
              <w:rPr>
                <w:color w:val="1A1A1A"/>
                <w:sz w:val="17"/>
              </w:rPr>
              <w:t>GET /health for platform liveness polling.</w:t>
            </w:r>
          </w:p>
        </w:tc>
      </w:tr>
    </w:tbl>
    <w:p>
      <w:pPr>
        <w:spacing w:after="80" w:before="0"/>
      </w:pPr>
    </w:p>
    <w:p>
      <w:pPr>
        <w:spacing w:after="60" w:before="220"/>
      </w:pPr>
      <w:r>
        <w:rPr>
          <w:b/>
          <w:i w:val="0"/>
          <w:color w:val="712D85"/>
          <w:sz w:val="22"/>
        </w:rPr>
        <w:t>10.2 Internal API surface</w:t>
      </w:r>
    </w:p>
    <w:p>
      <w:pPr>
        <w:spacing w:after="80" w:before="0"/>
      </w:pPr>
      <w:r>
        <w:rPr>
          <w:b w:val="0"/>
          <w:i w:val="0"/>
          <w:color w:val="1A1A1A"/>
          <w:sz w:val="19"/>
        </w:rPr>
        <w:t>Thirteen routes. The interview write path is representative:</w:t>
      </w:r>
    </w:p>
    <w:tbl>
      <w:tblPr>
        <w:tblW w:type="auto" w:w="0"/>
        <w:jc w:val="left"/>
        <w:tblLayout w:type="fixed"/>
        <w:tblLook w:firstColumn="1" w:firstRow="1" w:lastColumn="0" w:lastRow="0" w:noHBand="0" w:noVBand="1" w:val="04A0"/>
      </w:tblPr>
      <w:tblGrid>
        <w:gridCol w:w="4986"/>
        <w:gridCol w:w="4986"/>
      </w:tblGrid>
      <w:tr>
        <w:tc>
          <w:tcPr>
            <w:tcW w:type="dxa" w:w="1701"/>
            <w:shd w:val="clear" w:fill="FFFFFF"/>
          </w:tcPr>
          <w:p>
            <w:pPr>
              <w:spacing w:after="30" w:before="30" w:line="240" w:lineRule="auto"/>
            </w:pPr>
            <w:r>
              <w:rPr>
                <w:b/>
                <w:color w:val="1A1A1A"/>
                <w:sz w:val="17"/>
              </w:rPr>
              <w:t>Aspect</w:t>
            </w:r>
          </w:p>
        </w:tc>
        <w:tc>
          <w:tcPr>
            <w:tcW w:type="dxa" w:w="7937"/>
            <w:shd w:val="clear" w:fill="FFFFFF"/>
          </w:tcPr>
          <w:p>
            <w:pPr>
              <w:spacing w:after="30" w:before="30" w:line="240" w:lineRule="auto"/>
            </w:pPr>
            <w:r>
              <w:rPr>
                <w:color w:val="1A1A1A"/>
                <w:sz w:val="17"/>
              </w:rPr>
              <w:t>POST /api/interview/{sessionId}/turn</w:t>
            </w:r>
          </w:p>
        </w:tc>
      </w:tr>
      <w:tr>
        <w:tc>
          <w:tcPr>
            <w:tcW w:type="dxa" w:w="1701"/>
            <w:shd w:val="clear" w:fill="FFFFFF"/>
          </w:tcPr>
          <w:p>
            <w:pPr>
              <w:spacing w:after="30" w:before="30" w:line="240" w:lineRule="auto"/>
            </w:pPr>
            <w:r>
              <w:rPr>
                <w:b/>
                <w:color w:val="1A1A1A"/>
                <w:sz w:val="17"/>
              </w:rPr>
              <w:t>Request</w:t>
            </w:r>
          </w:p>
        </w:tc>
        <w:tc>
          <w:tcPr>
            <w:tcW w:type="dxa" w:w="7937"/>
            <w:shd w:val="clear" w:fill="FFFFFF"/>
          </w:tcPr>
          <w:p>
            <w:pPr>
              <w:spacing w:after="30" w:before="30" w:line="240" w:lineRule="auto"/>
            </w:pPr>
            <w:r>
              <w:rPr>
                <w:color w:val="1A1A1A"/>
                <w:sz w:val="17"/>
              </w:rPr>
              <w:t>{ seq: integer, content: string } — deduplicated on (session, seq)</w:t>
            </w:r>
          </w:p>
        </w:tc>
      </w:tr>
      <w:tr>
        <w:tc>
          <w:tcPr>
            <w:tcW w:type="dxa" w:w="1701"/>
            <w:shd w:val="clear" w:fill="FFFFFF"/>
          </w:tcPr>
          <w:p>
            <w:pPr>
              <w:spacing w:after="30" w:before="30" w:line="240" w:lineRule="auto"/>
            </w:pPr>
            <w:r>
              <w:rPr>
                <w:b/>
                <w:color w:val="1A1A1A"/>
                <w:sz w:val="17"/>
              </w:rPr>
              <w:t>Limits</w:t>
            </w:r>
          </w:p>
        </w:tc>
        <w:tc>
          <w:tcPr>
            <w:tcW w:type="dxa" w:w="7937"/>
            <w:shd w:val="clear" w:fill="FFFFFF"/>
          </w:tcPr>
          <w:p>
            <w:pPr>
              <w:spacing w:after="30" w:before="30" w:line="240" w:lineRule="auto"/>
            </w:pPr>
            <w:r>
              <w:rPr>
                <w:color w:val="1A1A1A"/>
                <w:sz w:val="17"/>
              </w:rPr>
              <w:t>40 requests per minute per IP; 4,000 characters per message</w:t>
            </w:r>
          </w:p>
        </w:tc>
      </w:tr>
      <w:tr>
        <w:tc>
          <w:tcPr>
            <w:tcW w:type="dxa" w:w="1701"/>
            <w:shd w:val="clear" w:fill="FFFFFF"/>
          </w:tcPr>
          <w:p>
            <w:pPr>
              <w:spacing w:after="30" w:before="30" w:line="240" w:lineRule="auto"/>
            </w:pPr>
            <w:r>
              <w:rPr>
                <w:b/>
                <w:color w:val="1A1A1A"/>
                <w:sz w:val="17"/>
              </w:rPr>
              <w:t>200</w:t>
            </w:r>
          </w:p>
        </w:tc>
        <w:tc>
          <w:tcPr>
            <w:tcW w:type="dxa" w:w="7937"/>
            <w:shd w:val="clear" w:fill="FFFFFF"/>
          </w:tcPr>
          <w:p>
            <w:pPr>
              <w:spacing w:after="30" w:before="30" w:line="240" w:lineRule="auto"/>
            </w:pPr>
            <w:r>
              <w:rPr>
                <w:color w:val="1A1A1A"/>
                <w:sz w:val="17"/>
              </w:rPr>
              <w:t>Agent reply, updated coverage, element state, question budget, review flag</w:t>
            </w:r>
          </w:p>
        </w:tc>
      </w:tr>
      <w:tr>
        <w:tc>
          <w:tcPr>
            <w:tcW w:type="dxa" w:w="1701"/>
            <w:shd w:val="clear" w:fill="FFFFFF"/>
          </w:tcPr>
          <w:p>
            <w:pPr>
              <w:spacing w:after="30" w:before="30" w:line="240" w:lineRule="auto"/>
            </w:pPr>
            <w:r>
              <w:rPr>
                <w:b/>
                <w:color w:val="1A1A1A"/>
                <w:sz w:val="17"/>
              </w:rPr>
              <w:t>400 / 404</w:t>
            </w:r>
          </w:p>
        </w:tc>
        <w:tc>
          <w:tcPr>
            <w:tcW w:type="dxa" w:w="7937"/>
            <w:shd w:val="clear" w:fill="FFFFFF"/>
          </w:tcPr>
          <w:p>
            <w:pPr>
              <w:spacing w:after="30" w:before="30" w:line="240" w:lineRule="auto"/>
            </w:pPr>
            <w:r>
              <w:rPr>
                <w:color w:val="1A1A1A"/>
                <w:sz w:val="17"/>
              </w:rPr>
              <w:t>Malformed body or invalid sequence / unknown session</w:t>
            </w:r>
          </w:p>
        </w:tc>
      </w:tr>
      <w:tr>
        <w:tc>
          <w:tcPr>
            <w:tcW w:type="dxa" w:w="1701"/>
            <w:shd w:val="clear" w:fill="FFFFFF"/>
          </w:tcPr>
          <w:p>
            <w:pPr>
              <w:spacing w:after="30" w:before="30" w:line="240" w:lineRule="auto"/>
            </w:pPr>
            <w:r>
              <w:rPr>
                <w:b/>
                <w:color w:val="1A1A1A"/>
                <w:sz w:val="17"/>
              </w:rPr>
              <w:t>413 / 429</w:t>
            </w:r>
          </w:p>
        </w:tc>
        <w:tc>
          <w:tcPr>
            <w:tcW w:type="dxa" w:w="7937"/>
            <w:shd w:val="clear" w:fill="FFFFFF"/>
          </w:tcPr>
          <w:p>
            <w:pPr>
              <w:spacing w:after="30" w:before="30" w:line="240" w:lineRule="auto"/>
            </w:pPr>
            <w:r>
              <w:rPr>
                <w:color w:val="1A1A1A"/>
                <w:sz w:val="17"/>
              </w:rPr>
              <w:t>Message too long / rate limited, with Retry-After</w:t>
            </w:r>
          </w:p>
        </w:tc>
      </w:tr>
      <w:tr>
        <w:tc>
          <w:tcPr>
            <w:tcW w:type="dxa" w:w="1701"/>
            <w:shd w:val="clear" w:fill="FFFFFF"/>
          </w:tcPr>
          <w:p>
            <w:pPr>
              <w:spacing w:after="30" w:before="30" w:line="240" w:lineRule="auto"/>
            </w:pPr>
            <w:r>
              <w:rPr>
                <w:b/>
                <w:color w:val="1A1A1A"/>
                <w:sz w:val="17"/>
              </w:rPr>
              <w:t>502</w:t>
            </w:r>
          </w:p>
        </w:tc>
        <w:tc>
          <w:tcPr>
            <w:tcW w:type="dxa" w:w="7937"/>
            <w:shd w:val="clear" w:fill="FFFFFF"/>
          </w:tcPr>
          <w:p>
            <w:pPr>
              <w:spacing w:after="30" w:before="30" w:line="240" w:lineRule="auto"/>
            </w:pPr>
            <w:r>
              <w:rPr>
                <w:color w:val="1A1A1A"/>
                <w:sz w:val="17"/>
              </w:rPr>
              <w:t>Model call failed. The informant's answer is already persisted and the turn is retryable.</w:t>
            </w:r>
          </w:p>
        </w:tc>
      </w:tr>
    </w:tbl>
    <w:p>
      <w:pPr>
        <w:spacing w:after="80" w:before="0"/>
      </w:pPr>
    </w:p>
    <w:p>
      <w:pPr>
        <w:spacing w:after="100" w:before="0"/>
      </w:pPr>
      <w:r>
        <w:rPr>
          <w:b w:val="0"/>
          <w:i/>
          <w:color w:val="5A5A5A"/>
          <w:sz w:val="18"/>
        </w:rPr>
        <w:t>Rate limiting is currently in-process. This is correct only while the service runs as a single instance, which is the pilot posture; it is recorded as an issue for scale-out in §17.</w:t>
      </w:r>
    </w:p>
    <w:p>
      <w:pPr>
        <w:spacing w:after="60" w:before="220"/>
      </w:pPr>
      <w:r>
        <w:rPr>
          <w:b/>
          <w:i w:val="0"/>
          <w:color w:val="712D85"/>
          <w:sz w:val="22"/>
        </w:rPr>
        <w:t>10.3 User interfaces</w:t>
      </w:r>
    </w:p>
    <w:p>
      <w:pPr>
        <w:pStyle w:val="ListBullet"/>
        <w:spacing w:after="50" w:line="262" w:lineRule="auto"/>
        <w:ind w:left="340"/>
      </w:pPr>
      <w:r>
        <w:rPr>
          <w:b w:val="0"/>
          <w:color w:val="1A1A1A"/>
          <w:sz w:val="19"/>
        </w:rPr>
        <w:t>Interview: one question at a time, a coverage rail stating what is still wanted in words rather than a bare percentage, and an explicit question budget.</w:t>
      </w:r>
    </w:p>
    <w:p>
      <w:pPr>
        <w:pStyle w:val="ListBullet"/>
        <w:spacing w:after="50" w:line="262" w:lineRule="auto"/>
        <w:ind w:left="340"/>
      </w:pPr>
      <w:r>
        <w:rPr>
          <w:b w:val="0"/>
          <w:color w:val="1A1A1A"/>
          <w:sz w:val="19"/>
        </w:rPr>
        <w:t>Draft protection: an unsent answer survives a reload and returns with a banner. Discard requires confirmation and is undoable.</w:t>
      </w:r>
    </w:p>
    <w:p>
      <w:pPr>
        <w:pStyle w:val="ListBullet"/>
        <w:spacing w:after="50" w:line="262" w:lineRule="auto"/>
        <w:ind w:left="340"/>
      </w:pPr>
      <w:r>
        <w:rPr>
          <w:b w:val="0"/>
          <w:color w:val="1A1A1A"/>
          <w:sz w:val="19"/>
        </w:rPr>
        <w:t>Voice input is chunked rather than continuously streamed — a deliberate simplification, recorded as a deviation.</w:t>
      </w:r>
    </w:p>
    <w:p>
      <w:pPr>
        <w:pStyle w:val="ListBullet"/>
        <w:spacing w:after="50" w:line="262" w:lineRule="auto"/>
        <w:ind w:left="340"/>
      </w:pPr>
      <w:r>
        <w:rPr>
          <w:b w:val="0"/>
          <w:color w:val="1A1A1A"/>
          <w:sz w:val="19"/>
        </w:rPr>
        <w:t>Console: campaigns, register, findings, specification reader, downloads, and the analysis views behind a flag.</w:t>
      </w:r>
    </w:p>
    <w:p>
      <w:pPr>
        <w:spacing w:after="40" w:before="160"/>
      </w:pPr>
      <w:r>
        <w:rPr>
          <w:b/>
          <w:i w:val="0"/>
          <w:color w:val="451B4F"/>
          <w:sz w:val="28"/>
        </w:rPr>
        <w:t>11 · Non-functional design</w:t>
      </w:r>
    </w:p>
    <w:tbl>
      <w:tblPr>
        <w:tblW w:type="auto" w:w="0"/>
        <w:jc w:val="left"/>
        <w:tblLayout w:type="fixed"/>
        <w:tblLook w:firstColumn="1" w:firstRow="1" w:lastColumn="0" w:lastRow="0" w:noHBand="0" w:noVBand="1" w:val="04A0"/>
      </w:tblPr>
      <w:tblGrid>
        <w:gridCol w:w="3324"/>
        <w:gridCol w:w="3324"/>
        <w:gridCol w:w="3324"/>
      </w:tblGrid>
      <w:tr>
        <w:tc>
          <w:tcPr>
            <w:tcW w:type="dxa" w:w="1814"/>
            <w:shd w:val="clear" w:fill="712D85"/>
          </w:tcPr>
          <w:p>
            <w:pPr>
              <w:spacing w:after="30" w:before="30" w:line="240" w:lineRule="auto"/>
            </w:pPr>
            <w:r>
              <w:rPr>
                <w:b/>
                <w:color w:val="FFFFFF"/>
                <w:sz w:val="17"/>
              </w:rPr>
              <w:t>Attribute</w:t>
            </w:r>
          </w:p>
        </w:tc>
        <w:tc>
          <w:tcPr>
            <w:tcW w:type="dxa" w:w="4082"/>
            <w:shd w:val="clear" w:fill="712D85"/>
          </w:tcPr>
          <w:p>
            <w:pPr>
              <w:spacing w:after="30" w:before="30" w:line="240" w:lineRule="auto"/>
            </w:pPr>
            <w:r>
              <w:rPr>
                <w:b/>
                <w:color w:val="FFFFFF"/>
                <w:sz w:val="17"/>
              </w:rPr>
              <w:t>Design position</w:t>
            </w:r>
          </w:p>
        </w:tc>
        <w:tc>
          <w:tcPr>
            <w:tcW w:type="dxa" w:w="3742"/>
            <w:shd w:val="clear" w:fill="712D85"/>
          </w:tcPr>
          <w:p>
            <w:pPr>
              <w:spacing w:after="30" w:before="30" w:line="240" w:lineRule="auto"/>
            </w:pPr>
            <w:r>
              <w:rPr>
                <w:b/>
                <w:color w:val="FFFFFF"/>
                <w:sz w:val="17"/>
              </w:rPr>
              <w:t>Evidence / basis</w:t>
            </w:r>
          </w:p>
        </w:tc>
      </w:tr>
      <w:tr>
        <w:tc>
          <w:tcPr>
            <w:tcW w:type="dxa" w:w="1814"/>
            <w:shd w:val="clear" w:fill="FFFFFF"/>
          </w:tcPr>
          <w:p>
            <w:pPr>
              <w:spacing w:after="30" w:before="30" w:line="240" w:lineRule="auto"/>
            </w:pPr>
            <w:r>
              <w:rPr>
                <w:b/>
                <w:color w:val="1A1A1A"/>
                <w:sz w:val="17"/>
              </w:rPr>
              <w:t>Interview duration</w:t>
            </w:r>
          </w:p>
        </w:tc>
        <w:tc>
          <w:tcPr>
            <w:tcW w:type="dxa" w:w="4082"/>
            <w:shd w:val="clear" w:fill="FFFFFF"/>
          </w:tcPr>
          <w:p>
            <w:pPr>
              <w:spacing w:after="30" w:before="30" w:line="240" w:lineRule="auto"/>
            </w:pPr>
            <w:r>
              <w:rPr>
                <w:color w:val="1A1A1A"/>
                <w:sz w:val="17"/>
              </w:rPr>
              <w:t>25–40 minutes, bounded by a configurable question budget</w:t>
            </w:r>
          </w:p>
        </w:tc>
        <w:tc>
          <w:tcPr>
            <w:tcW w:type="dxa" w:w="3742"/>
            <w:shd w:val="clear" w:fill="FFFFFF"/>
          </w:tcPr>
          <w:p>
            <w:pPr>
              <w:spacing w:after="30" w:before="30" w:line="240" w:lineRule="auto"/>
            </w:pPr>
            <w:r>
              <w:rPr>
                <w:color w:val="1A1A1A"/>
                <w:sz w:val="17"/>
              </w:rPr>
              <w:t>Measured: a complete simulated interview took 17 questions</w:t>
            </w:r>
          </w:p>
        </w:tc>
      </w:tr>
      <w:tr>
        <w:tc>
          <w:tcPr>
            <w:tcW w:type="dxa" w:w="1814"/>
            <w:shd w:val="clear" w:fill="FFFFFF"/>
          </w:tcPr>
          <w:p>
            <w:pPr>
              <w:spacing w:after="30" w:before="30" w:line="240" w:lineRule="auto"/>
            </w:pPr>
            <w:r>
              <w:rPr>
                <w:b/>
                <w:color w:val="1A1A1A"/>
                <w:sz w:val="17"/>
              </w:rPr>
              <w:t>Model cost</w:t>
            </w:r>
          </w:p>
        </w:tc>
        <w:tc>
          <w:tcPr>
            <w:tcW w:type="dxa" w:w="4082"/>
            <w:shd w:val="clear" w:fill="FFFFFF"/>
          </w:tcPr>
          <w:p>
            <w:pPr>
              <w:spacing w:after="30" w:before="30" w:line="240" w:lineRule="auto"/>
            </w:pPr>
            <w:r>
              <w:rPr>
                <w:color w:val="1A1A1A"/>
                <w:sz w:val="17"/>
              </w:rPr>
              <w:t>≈ £2.37 per interview at list; ≈ £0.82 with prompt caching</w:t>
            </w:r>
          </w:p>
        </w:tc>
        <w:tc>
          <w:tcPr>
            <w:tcW w:type="dxa" w:w="3742"/>
            <w:shd w:val="clear" w:fill="FFFFFF"/>
          </w:tcPr>
          <w:p>
            <w:pPr>
              <w:spacing w:after="30" w:before="30" w:line="240" w:lineRule="auto"/>
            </w:pPr>
            <w:r>
              <w:rPr>
                <w:color w:val="1A1A1A"/>
                <w:sz w:val="17"/>
              </w:rPr>
              <w:t>Measured: 913k input and 18k output tokens for one full interview</w:t>
            </w:r>
          </w:p>
        </w:tc>
      </w:tr>
      <w:tr>
        <w:tc>
          <w:tcPr>
            <w:tcW w:type="dxa" w:w="1814"/>
            <w:shd w:val="clear" w:fill="FFFFFF"/>
          </w:tcPr>
          <w:p>
            <w:pPr>
              <w:spacing w:after="30" w:before="30" w:line="240" w:lineRule="auto"/>
            </w:pPr>
            <w:r>
              <w:rPr>
                <w:b/>
                <w:color w:val="1A1A1A"/>
                <w:sz w:val="17"/>
              </w:rPr>
              <w:t>Availability</w:t>
            </w:r>
          </w:p>
        </w:tc>
        <w:tc>
          <w:tcPr>
            <w:tcW w:type="dxa" w:w="4082"/>
            <w:shd w:val="clear" w:fill="FFFFFF"/>
          </w:tcPr>
          <w:p>
            <w:pPr>
              <w:spacing w:after="30" w:before="30" w:line="240" w:lineRule="auto"/>
            </w:pPr>
            <w:r>
              <w:rPr>
                <w:color w:val="1A1A1A"/>
                <w:sz w:val="17"/>
              </w:rPr>
              <w:t>Single instance for the pilot. No high-availability design yet.</w:t>
            </w:r>
          </w:p>
        </w:tc>
        <w:tc>
          <w:tcPr>
            <w:tcW w:type="dxa" w:w="3742"/>
            <w:shd w:val="clear" w:fill="FFFFFF"/>
          </w:tcPr>
          <w:p>
            <w:pPr>
              <w:spacing w:after="30" w:before="30" w:line="240" w:lineRule="auto"/>
            </w:pPr>
            <w:r>
              <w:rPr>
                <w:color w:val="1A1A1A"/>
                <w:sz w:val="17"/>
              </w:rPr>
              <w:t>Deliberate: capacity is not the pilot's risk</w:t>
            </w:r>
          </w:p>
        </w:tc>
      </w:tr>
      <w:tr>
        <w:tc>
          <w:tcPr>
            <w:tcW w:type="dxa" w:w="1814"/>
            <w:shd w:val="clear" w:fill="FFFFFF"/>
          </w:tcPr>
          <w:p>
            <w:pPr>
              <w:spacing w:after="30" w:before="30" w:line="240" w:lineRule="auto"/>
            </w:pPr>
            <w:r>
              <w:rPr>
                <w:b/>
                <w:color w:val="1A1A1A"/>
                <w:sz w:val="17"/>
              </w:rPr>
              <w:t>Scalability</w:t>
            </w:r>
          </w:p>
        </w:tc>
        <w:tc>
          <w:tcPr>
            <w:tcW w:type="dxa" w:w="4082"/>
            <w:shd w:val="clear" w:fill="FFFFFF"/>
          </w:tcPr>
          <w:p>
            <w:pPr>
              <w:spacing w:after="30" w:before="30" w:line="240" w:lineRule="auto"/>
            </w:pPr>
            <w:r>
              <w:rPr>
                <w:color w:val="1A1A1A"/>
                <w:sz w:val="17"/>
              </w:rPr>
              <w:t>Stateless application; horizontal scale needs no code change</w:t>
            </w:r>
          </w:p>
        </w:tc>
        <w:tc>
          <w:tcPr>
            <w:tcW w:type="dxa" w:w="3742"/>
            <w:shd w:val="clear" w:fill="FFFFFF"/>
          </w:tcPr>
          <w:p>
            <w:pPr>
              <w:spacing w:after="30" w:before="30" w:line="240" w:lineRule="auto"/>
            </w:pPr>
            <w:r>
              <w:rPr>
                <w:color w:val="1A1A1A"/>
                <w:sz w:val="17"/>
              </w:rPr>
              <w:t>Blocked only by in-process rate limiting (§17 I-1)</w:t>
            </w:r>
          </w:p>
        </w:tc>
      </w:tr>
      <w:tr>
        <w:tc>
          <w:tcPr>
            <w:tcW w:type="dxa" w:w="1814"/>
            <w:shd w:val="clear" w:fill="FFFFFF"/>
          </w:tcPr>
          <w:p>
            <w:pPr>
              <w:spacing w:after="30" w:before="30" w:line="240" w:lineRule="auto"/>
            </w:pPr>
            <w:r>
              <w:rPr>
                <w:b/>
                <w:color w:val="1A1A1A"/>
                <w:sz w:val="17"/>
              </w:rPr>
              <w:t>Durability</w:t>
            </w:r>
          </w:p>
        </w:tc>
        <w:tc>
          <w:tcPr>
            <w:tcW w:type="dxa" w:w="4082"/>
            <w:shd w:val="clear" w:fill="FFFFFF"/>
          </w:tcPr>
          <w:p>
            <w:pPr>
              <w:spacing w:after="30" w:before="30" w:line="240" w:lineRule="auto"/>
            </w:pPr>
            <w:r>
              <w:rPr>
                <w:color w:val="1A1A1A"/>
                <w:sz w:val="17"/>
              </w:rPr>
              <w:t>All state in managed Postgres; append-only history</w:t>
            </w:r>
          </w:p>
        </w:tc>
        <w:tc>
          <w:tcPr>
            <w:tcW w:type="dxa" w:w="3742"/>
            <w:shd w:val="clear" w:fill="FFFFFF"/>
          </w:tcPr>
          <w:p>
            <w:pPr>
              <w:spacing w:after="30" w:before="30" w:line="240" w:lineRule="auto"/>
            </w:pPr>
            <w:r>
              <w:rPr>
                <w:color w:val="1A1A1A"/>
                <w:sz w:val="17"/>
              </w:rPr>
              <w:t>Platform-managed backups</w:t>
            </w:r>
          </w:p>
        </w:tc>
      </w:tr>
      <w:tr>
        <w:tc>
          <w:tcPr>
            <w:tcW w:type="dxa" w:w="1814"/>
            <w:shd w:val="clear" w:fill="FFFFFF"/>
          </w:tcPr>
          <w:p>
            <w:pPr>
              <w:spacing w:after="30" w:before="30" w:line="240" w:lineRule="auto"/>
            </w:pPr>
            <w:r>
              <w:rPr>
                <w:b/>
                <w:color w:val="1A1A1A"/>
                <w:sz w:val="17"/>
              </w:rPr>
              <w:t>Resilience</w:t>
            </w:r>
          </w:p>
        </w:tc>
        <w:tc>
          <w:tcPr>
            <w:tcW w:type="dxa" w:w="4082"/>
            <w:shd w:val="clear" w:fill="FFFFFF"/>
          </w:tcPr>
          <w:p>
            <w:pPr>
              <w:spacing w:after="30" w:before="30" w:line="240" w:lineRule="auto"/>
            </w:pPr>
            <w:r>
              <w:rPr>
                <w:color w:val="1A1A1A"/>
                <w:sz w:val="17"/>
              </w:rPr>
              <w:t>Retries with backoff on model calls; a failed turn preserves the answer and is retryable</w:t>
            </w:r>
          </w:p>
        </w:tc>
        <w:tc>
          <w:tcPr>
            <w:tcW w:type="dxa" w:w="3742"/>
            <w:shd w:val="clear" w:fill="FFFFFF"/>
          </w:tcPr>
          <w:p>
            <w:pPr>
              <w:spacing w:after="30" w:before="30" w:line="240" w:lineRule="auto"/>
            </w:pPr>
            <w:r>
              <w:rPr>
                <w:color w:val="1A1A1A"/>
                <w:sz w:val="17"/>
              </w:rPr>
              <w:t>Added after observed transient connection failures</w:t>
            </w:r>
          </w:p>
        </w:tc>
      </w:tr>
      <w:tr>
        <w:tc>
          <w:tcPr>
            <w:tcW w:type="dxa" w:w="1814"/>
            <w:shd w:val="clear" w:fill="FFFFFF"/>
          </w:tcPr>
          <w:p>
            <w:pPr>
              <w:spacing w:after="30" w:before="30" w:line="240" w:lineRule="auto"/>
            </w:pPr>
            <w:r>
              <w:rPr>
                <w:b/>
                <w:color w:val="1A1A1A"/>
                <w:sz w:val="17"/>
              </w:rPr>
              <w:t>Recoverability</w:t>
            </w:r>
          </w:p>
        </w:tc>
        <w:tc>
          <w:tcPr>
            <w:tcW w:type="dxa" w:w="4082"/>
            <w:shd w:val="clear" w:fill="FFFFFF"/>
          </w:tcPr>
          <w:p>
            <w:pPr>
              <w:spacing w:after="30" w:before="30" w:line="240" w:lineRule="auto"/>
            </w:pPr>
            <w:r>
              <w:rPr>
                <w:color w:val="1A1A1A"/>
                <w:sz w:val="17"/>
              </w:rPr>
              <w:t>Interviews resume from persisted state after any interruption</w:t>
            </w:r>
          </w:p>
        </w:tc>
        <w:tc>
          <w:tcPr>
            <w:tcW w:type="dxa" w:w="3742"/>
            <w:shd w:val="clear" w:fill="FFFFFF"/>
          </w:tcPr>
          <w:p>
            <w:pPr>
              <w:spacing w:after="30" w:before="30" w:line="240" w:lineRule="auto"/>
            </w:pPr>
            <w:r>
              <w:rPr>
                <w:color w:val="1A1A1A"/>
                <w:sz w:val="17"/>
              </w:rPr>
              <w:t>Covered by end-to-end tests</w:t>
            </w:r>
          </w:p>
        </w:tc>
      </w:tr>
      <w:tr>
        <w:tc>
          <w:tcPr>
            <w:tcW w:type="dxa" w:w="1814"/>
            <w:shd w:val="clear" w:fill="FFFFFF"/>
          </w:tcPr>
          <w:p>
            <w:pPr>
              <w:spacing w:after="30" w:before="30" w:line="240" w:lineRule="auto"/>
            </w:pPr>
            <w:r>
              <w:rPr>
                <w:b/>
                <w:color w:val="1A1A1A"/>
                <w:sz w:val="17"/>
              </w:rPr>
              <w:t>Maintainability</w:t>
            </w:r>
          </w:p>
        </w:tc>
        <w:tc>
          <w:tcPr>
            <w:tcW w:type="dxa" w:w="4082"/>
            <w:shd w:val="clear" w:fill="FFFFFF"/>
          </w:tcPr>
          <w:p>
            <w:pPr>
              <w:spacing w:after="30" w:before="30" w:line="240" w:lineRule="auto"/>
            </w:pPr>
            <w:r>
              <w:rPr>
                <w:color w:val="1A1A1A"/>
                <w:sz w:val="17"/>
              </w:rPr>
              <w:t>~7,000 lines, 38 modules, 10 runtime dependencies, TypeScript strict</w:t>
            </w:r>
          </w:p>
        </w:tc>
        <w:tc>
          <w:tcPr>
            <w:tcW w:type="dxa" w:w="3742"/>
            <w:shd w:val="clear" w:fill="FFFFFF"/>
          </w:tcPr>
          <w:p>
            <w:pPr>
              <w:spacing w:after="30" w:before="30" w:line="240" w:lineRule="auto"/>
            </w:pPr>
            <w:r>
              <w:rPr>
                <w:color w:val="1A1A1A"/>
                <w:sz w:val="17"/>
              </w:rPr>
              <w:t>217 unit and integration tests, 10 end-to-end</w:t>
            </w:r>
          </w:p>
        </w:tc>
      </w:tr>
      <w:tr>
        <w:tc>
          <w:tcPr>
            <w:tcW w:type="dxa" w:w="1814"/>
            <w:shd w:val="clear" w:fill="FFFFFF"/>
          </w:tcPr>
          <w:p>
            <w:pPr>
              <w:spacing w:after="30" w:before="30" w:line="240" w:lineRule="auto"/>
            </w:pPr>
            <w:r>
              <w:rPr>
                <w:b/>
                <w:color w:val="1A1A1A"/>
                <w:sz w:val="17"/>
              </w:rPr>
              <w:t>Portability</w:t>
            </w:r>
          </w:p>
        </w:tc>
        <w:tc>
          <w:tcPr>
            <w:tcW w:type="dxa" w:w="4082"/>
            <w:shd w:val="clear" w:fill="FFFFFF"/>
          </w:tcPr>
          <w:p>
            <w:pPr>
              <w:spacing w:after="30" w:before="30" w:line="240" w:lineRule="auto"/>
            </w:pPr>
            <w:r>
              <w:rPr>
                <w:color w:val="1A1A1A"/>
                <w:sz w:val="17"/>
              </w:rPr>
              <w:t>One container, standard Postgres; cloud-neutral by construction</w:t>
            </w:r>
          </w:p>
        </w:tc>
        <w:tc>
          <w:tcPr>
            <w:tcW w:type="dxa" w:w="3742"/>
            <w:shd w:val="clear" w:fill="FFFFFF"/>
          </w:tcPr>
          <w:p>
            <w:pPr>
              <w:spacing w:after="30" w:before="30" w:line="240" w:lineRule="auto"/>
            </w:pPr>
            <w:r>
              <w:rPr>
                <w:color w:val="1A1A1A"/>
                <w:sz w:val="17"/>
              </w:rPr>
              <w:t>Migration between clouds is a runbook change</w:t>
            </w:r>
          </w:p>
        </w:tc>
      </w:tr>
    </w:tbl>
    <w:p>
      <w:pPr>
        <w:spacing w:after="80" w:before="0"/>
      </w:pPr>
    </w:p>
    <w:p>
      <w:pPr>
        <w:spacing w:after="40" w:before="160"/>
      </w:pPr>
      <w:r>
        <w:rPr>
          <w:b/>
          <w:i w:val="0"/>
          <w:color w:val="451B4F"/>
          <w:sz w:val="28"/>
        </w:rPr>
        <w:t>12 · Security design</w:t>
      </w:r>
    </w:p>
    <w:p>
      <w:pPr>
        <w:spacing w:after="60" w:before="120"/>
      </w:pPr>
      <w:r>
        <w:rPr>
          <w:b/>
          <w:i w:val="0"/>
          <w:color w:val="712D85"/>
          <w:sz w:val="22"/>
        </w:rPr>
        <w:t>12.1 Controls in place</w:t>
      </w:r>
    </w:p>
    <w:p>
      <w:pPr>
        <w:pStyle w:val="ListBullet"/>
        <w:spacing w:after="50" w:line="262" w:lineRule="auto"/>
        <w:ind w:left="340"/>
      </w:pPr>
      <w:r>
        <w:rPr>
          <w:b w:val="0"/>
          <w:color w:val="1A1A1A"/>
          <w:sz w:val="19"/>
        </w:rPr>
        <w:t>Console authentication by hashed password; sessions are signed cookies.</w:t>
      </w:r>
    </w:p>
    <w:p>
      <w:pPr>
        <w:pStyle w:val="ListBullet"/>
        <w:spacing w:after="50" w:line="262" w:lineRule="auto"/>
        <w:ind w:left="340"/>
      </w:pPr>
      <w:r>
        <w:rPr>
          <w:b w:val="0"/>
          <w:color w:val="1A1A1A"/>
          <w:sz w:val="19"/>
        </w:rPr>
        <w:t>Interview access by unguessable single-purpose token. A completed invitation cannot be reused.</w:t>
      </w:r>
    </w:p>
    <w:p>
      <w:pPr>
        <w:pStyle w:val="ListBullet"/>
        <w:spacing w:after="50" w:line="262" w:lineRule="auto"/>
        <w:ind w:left="340"/>
      </w:pPr>
      <w:r>
        <w:rPr>
          <w:b w:val="0"/>
          <w:color w:val="1A1A1A"/>
          <w:sz w:val="19"/>
        </w:rPr>
        <w:t>The interview face has no account system, so there are no informant credentials to compromise.</w:t>
      </w:r>
    </w:p>
    <w:p>
      <w:pPr>
        <w:pStyle w:val="ListBullet"/>
        <w:spacing w:after="50" w:line="262" w:lineRule="auto"/>
        <w:ind w:left="340"/>
      </w:pPr>
      <w:r>
        <w:rPr>
          <w:b w:val="0"/>
          <w:color w:val="1A1A1A"/>
          <w:sz w:val="19"/>
        </w:rPr>
        <w:t>Rate limiting in front of every model-calling route; message length capped.</w:t>
      </w:r>
    </w:p>
    <w:p>
      <w:pPr>
        <w:pStyle w:val="ListBullet"/>
        <w:spacing w:after="50" w:line="262" w:lineRule="auto"/>
        <w:ind w:left="340"/>
      </w:pPr>
      <w:r>
        <w:rPr>
          <w:b w:val="0"/>
          <w:color w:val="1A1A1A"/>
          <w:sz w:val="19"/>
        </w:rPr>
        <w:t>All model calls are server-side. No API key ever reaches the browser.</w:t>
      </w:r>
    </w:p>
    <w:p>
      <w:pPr>
        <w:pStyle w:val="ListBullet"/>
        <w:spacing w:after="50" w:line="262" w:lineRule="auto"/>
        <w:ind w:left="340"/>
      </w:pPr>
      <w:r>
        <w:rPr>
          <w:b w:val="0"/>
          <w:color w:val="1A1A1A"/>
          <w:sz w:val="19"/>
        </w:rPr>
        <w:t>Secrets are injected from the platform's secret store. Nothing sensitive is committed to the repository.</w:t>
      </w:r>
    </w:p>
    <w:p>
      <w:pPr>
        <w:pStyle w:val="ListBullet"/>
        <w:spacing w:after="50" w:line="262" w:lineRule="auto"/>
        <w:ind w:left="340"/>
      </w:pPr>
      <w:r>
        <w:rPr>
          <w:b w:val="0"/>
          <w:color w:val="1A1A1A"/>
          <w:sz w:val="19"/>
        </w:rPr>
        <w:t>The database has no public address in the documented deployment; the application reaches it over a private network path.</w:t>
      </w:r>
    </w:p>
    <w:p>
      <w:pPr>
        <w:spacing w:after="60" w:before="220"/>
      </w:pPr>
      <w:r>
        <w:rPr>
          <w:b/>
          <w:i w:val="0"/>
          <w:color w:val="712D85"/>
          <w:sz w:val="22"/>
        </w:rPr>
        <w:t>12.2 Known limitations, stated plainly</w:t>
      </w:r>
    </w:p>
    <w:p>
      <w:pPr>
        <w:pStyle w:val="ListBullet"/>
        <w:spacing w:after="50" w:line="262" w:lineRule="auto"/>
        <w:ind w:left="340"/>
      </w:pPr>
      <w:r>
        <w:rPr>
          <w:b/>
          <w:color w:val="1A1A1A"/>
          <w:sz w:val="19"/>
        </w:rPr>
        <w:t xml:space="preserve">Single shared console credential. </w:t>
      </w:r>
      <w:r>
        <w:rPr>
          <w:b w:val="0"/>
          <w:color w:val="1A1A1A"/>
          <w:sz w:val="19"/>
        </w:rPr>
        <w:t>There are no individual architect accounts, so review actions cannot be attributed to a named person (DL.64). Acceptable for a pilot with a small known team; it should not survive into wider use.</w:t>
      </w:r>
    </w:p>
    <w:p>
      <w:pPr>
        <w:pStyle w:val="ListBullet"/>
        <w:spacing w:after="50" w:line="262" w:lineRule="auto"/>
        <w:ind w:left="340"/>
      </w:pPr>
      <w:r>
        <w:rPr>
          <w:b/>
          <w:color w:val="1A1A1A"/>
          <w:sz w:val="19"/>
        </w:rPr>
        <w:t xml:space="preserve">In-process rate limiting </w:t>
      </w:r>
      <w:r>
        <w:rPr>
          <w:b w:val="0"/>
          <w:color w:val="1A1A1A"/>
          <w:sz w:val="19"/>
        </w:rPr>
        <w:t>does not hold across instances. See §17 I-1.</w:t>
      </w:r>
    </w:p>
    <w:p>
      <w:pPr>
        <w:pStyle w:val="ListBullet"/>
        <w:spacing w:after="50" w:line="262" w:lineRule="auto"/>
        <w:ind w:left="340"/>
      </w:pPr>
      <w:r>
        <w:rPr>
          <w:b/>
          <w:color w:val="1A1A1A"/>
          <w:sz w:val="19"/>
        </w:rPr>
        <w:t xml:space="preserve">No formal penetration test </w:t>
      </w:r>
      <w:r>
        <w:rPr>
          <w:b w:val="0"/>
          <w:color w:val="1A1A1A"/>
          <w:sz w:val="19"/>
        </w:rPr>
        <w:t>has been carried out. Recommended before live informants.</w:t>
      </w:r>
    </w:p>
    <w:p>
      <w:pPr>
        <w:spacing w:after="40" w:before="160"/>
      </w:pPr>
      <w:r>
        <w:rPr>
          <w:b/>
          <w:i w:val="0"/>
          <w:color w:val="451B4F"/>
          <w:sz w:val="28"/>
        </w:rPr>
        <w:t>13 · Privacy and data protection design</w:t>
      </w:r>
    </w:p>
    <w:tbl>
      <w:tblPr>
        <w:tblW w:type="auto" w:w="0"/>
        <w:jc w:val="left"/>
        <w:tblLayout w:type="fixed"/>
        <w:tblLook w:firstColumn="1" w:firstRow="1" w:lastColumn="0" w:lastRow="0" w:noHBand="0" w:noVBand="1" w:val="04A0"/>
      </w:tblPr>
      <w:tblGrid>
        <w:gridCol w:w="4986"/>
        <w:gridCol w:w="4986"/>
      </w:tblGrid>
      <w:tr>
        <w:tc>
          <w:tcPr>
            <w:tcW w:type="dxa" w:w="2608"/>
            <w:shd w:val="clear" w:fill="712D85"/>
          </w:tcPr>
          <w:p>
            <w:pPr>
              <w:spacing w:after="30" w:before="30" w:line="240" w:lineRule="auto"/>
            </w:pPr>
            <w:r>
              <w:rPr>
                <w:b/>
                <w:color w:val="FFFFFF"/>
                <w:sz w:val="17"/>
              </w:rPr>
              <w:t>Question</w:t>
            </w:r>
          </w:p>
        </w:tc>
        <w:tc>
          <w:tcPr>
            <w:tcW w:type="dxa" w:w="7030"/>
            <w:shd w:val="clear" w:fill="712D85"/>
          </w:tcPr>
          <w:p>
            <w:pPr>
              <w:spacing w:after="30" w:before="30" w:line="240" w:lineRule="auto"/>
            </w:pPr>
            <w:r>
              <w:rPr>
                <w:b/>
                <w:color w:val="FFFFFF"/>
                <w:sz w:val="17"/>
              </w:rPr>
              <w:t>Design position</w:t>
            </w:r>
          </w:p>
        </w:tc>
      </w:tr>
      <w:tr>
        <w:tc>
          <w:tcPr>
            <w:tcW w:type="dxa" w:w="2608"/>
            <w:shd w:val="clear" w:fill="FFFFFF"/>
          </w:tcPr>
          <w:p>
            <w:pPr>
              <w:spacing w:after="30" w:before="30" w:line="240" w:lineRule="auto"/>
            </w:pPr>
            <w:r>
              <w:rPr>
                <w:b/>
                <w:color w:val="1A1A1A"/>
                <w:sz w:val="17"/>
              </w:rPr>
              <w:t>What personal data is held?</w:t>
            </w:r>
          </w:p>
        </w:tc>
        <w:tc>
          <w:tcPr>
            <w:tcW w:type="dxa" w:w="7030"/>
            <w:shd w:val="clear" w:fill="FFFFFF"/>
          </w:tcPr>
          <w:p>
            <w:pPr>
              <w:spacing w:after="30" w:before="30" w:line="240" w:lineRule="auto"/>
            </w:pPr>
            <w:r>
              <w:rPr>
                <w:color w:val="1A1A1A"/>
                <w:sz w:val="17"/>
              </w:rPr>
              <w:t>Name, work email address and job role of each informant, plus the content of what they say about their work.</w:t>
            </w:r>
          </w:p>
        </w:tc>
      </w:tr>
      <w:tr>
        <w:tc>
          <w:tcPr>
            <w:tcW w:type="dxa" w:w="2608"/>
            <w:shd w:val="clear" w:fill="FFFFFF"/>
          </w:tcPr>
          <w:p>
            <w:pPr>
              <w:spacing w:after="30" w:before="30" w:line="240" w:lineRule="auto"/>
            </w:pPr>
            <w:r>
              <w:rPr>
                <w:b/>
                <w:color w:val="1A1A1A"/>
                <w:sz w:val="17"/>
              </w:rPr>
              <w:t>Where does it live?</w:t>
            </w:r>
          </w:p>
        </w:tc>
        <w:tc>
          <w:tcPr>
            <w:tcW w:type="dxa" w:w="7030"/>
            <w:shd w:val="clear" w:fill="FFFFFF"/>
          </w:tcPr>
          <w:p>
            <w:pPr>
              <w:spacing w:after="30" w:before="30" w:line="240" w:lineRule="auto"/>
            </w:pPr>
            <w:r>
              <w:rPr>
                <w:color w:val="1A1A1A"/>
                <w:sz w:val="17"/>
              </w:rPr>
              <w:t>Email addresses exist only in the interviewees register. They never enter a specification document — enforced in the renderer, not by convention.</w:t>
            </w:r>
          </w:p>
        </w:tc>
      </w:tr>
      <w:tr>
        <w:tc>
          <w:tcPr>
            <w:tcW w:type="dxa" w:w="2608"/>
            <w:shd w:val="clear" w:fill="FFFFFF"/>
          </w:tcPr>
          <w:p>
            <w:pPr>
              <w:spacing w:after="30" w:before="30" w:line="240" w:lineRule="auto"/>
            </w:pPr>
            <w:r>
              <w:rPr>
                <w:b/>
                <w:color w:val="1A1A1A"/>
                <w:sz w:val="17"/>
              </w:rPr>
              <w:t>Is anyone monitored?</w:t>
            </w:r>
          </w:p>
        </w:tc>
        <w:tc>
          <w:tcPr>
            <w:tcW w:type="dxa" w:w="7030"/>
            <w:shd w:val="clear" w:fill="FFFFFF"/>
          </w:tcPr>
          <w:p>
            <w:pPr>
              <w:spacing w:after="30" w:before="30" w:line="240" w:lineRule="auto"/>
            </w:pPr>
            <w:r>
              <w:rPr>
                <w:color w:val="1A1A1A"/>
                <w:sz w:val="17"/>
              </w:rPr>
              <w:t>No. There is no telemetry, no analytics and no behavioural measurement. The system records statements about work, not behaviour about people.</w:t>
            </w:r>
          </w:p>
        </w:tc>
      </w:tr>
      <w:tr>
        <w:tc>
          <w:tcPr>
            <w:tcW w:type="dxa" w:w="2608"/>
            <w:shd w:val="clear" w:fill="FFFFFF"/>
          </w:tcPr>
          <w:p>
            <w:pPr>
              <w:spacing w:after="30" w:before="30" w:line="240" w:lineRule="auto"/>
            </w:pPr>
            <w:r>
              <w:rPr>
                <w:b/>
                <w:color w:val="1A1A1A"/>
                <w:sz w:val="17"/>
              </w:rPr>
              <w:t>Is the informant aware?</w:t>
            </w:r>
          </w:p>
        </w:tc>
        <w:tc>
          <w:tcPr>
            <w:tcW w:type="dxa" w:w="7030"/>
            <w:shd w:val="clear" w:fill="FFFFFF"/>
          </w:tcPr>
          <w:p>
            <w:pPr>
              <w:spacing w:after="30" w:before="30" w:line="240" w:lineRule="auto"/>
            </w:pPr>
            <w:r>
              <w:rPr>
                <w:color w:val="1A1A1A"/>
                <w:sz w:val="17"/>
              </w:rPr>
              <w:t>Yes. They self-identify, they are told the purpose, and they review a playback of what was understood before finishing.</w:t>
            </w:r>
          </w:p>
        </w:tc>
      </w:tr>
      <w:tr>
        <w:tc>
          <w:tcPr>
            <w:tcW w:type="dxa" w:w="2608"/>
            <w:shd w:val="clear" w:fill="FFFFFF"/>
          </w:tcPr>
          <w:p>
            <w:pPr>
              <w:spacing w:after="30" w:before="30" w:line="240" w:lineRule="auto"/>
            </w:pPr>
            <w:r>
              <w:rPr>
                <w:b/>
                <w:color w:val="1A1A1A"/>
                <w:sz w:val="17"/>
              </w:rPr>
              <w:t>Is anything automated about a person?</w:t>
            </w:r>
          </w:p>
        </w:tc>
        <w:tc>
          <w:tcPr>
            <w:tcW w:type="dxa" w:w="7030"/>
            <w:shd w:val="clear" w:fill="FFFFFF"/>
          </w:tcPr>
          <w:p>
            <w:pPr>
              <w:spacing w:after="30" w:before="30" w:line="240" w:lineRule="auto"/>
            </w:pPr>
            <w:r>
              <w:rPr>
                <w:color w:val="1A1A1A"/>
                <w:sz w:val="17"/>
              </w:rPr>
              <w:t>No decision is made about any individual. Automation labels apply to activities and are explicitly proposals requiring human approval.</w:t>
            </w:r>
          </w:p>
        </w:tc>
      </w:tr>
      <w:tr>
        <w:tc>
          <w:tcPr>
            <w:tcW w:type="dxa" w:w="2608"/>
            <w:shd w:val="clear" w:fill="FFFFFF"/>
          </w:tcPr>
          <w:p>
            <w:pPr>
              <w:spacing w:after="30" w:before="30" w:line="240" w:lineRule="auto"/>
            </w:pPr>
            <w:r>
              <w:rPr>
                <w:b/>
                <w:color w:val="1A1A1A"/>
                <w:sz w:val="17"/>
              </w:rPr>
              <w:t>Where is the data processed?</w:t>
            </w:r>
          </w:p>
        </w:tc>
        <w:tc>
          <w:tcPr>
            <w:tcW w:type="dxa" w:w="7030"/>
            <w:shd w:val="clear" w:fill="FFFFFF"/>
          </w:tcPr>
          <w:p>
            <w:pPr>
              <w:spacing w:after="30" w:before="30" w:line="240" w:lineRule="auto"/>
            </w:pPr>
            <w:r>
              <w:rPr>
                <w:color w:val="1A1A1A"/>
                <w:sz w:val="17"/>
              </w:rPr>
              <w:t>In the hosting region, plus the model provider for the duration of a call. Choice of provider affects this — see the accompanying decision note.</w:t>
            </w:r>
          </w:p>
        </w:tc>
      </w:tr>
      <w:tr>
        <w:tc>
          <w:tcPr>
            <w:tcW w:type="dxa" w:w="2608"/>
            <w:shd w:val="clear" w:fill="FFFFFF"/>
          </w:tcPr>
          <w:p>
            <w:pPr>
              <w:spacing w:after="30" w:before="30" w:line="240" w:lineRule="auto"/>
            </w:pPr>
            <w:r>
              <w:rPr>
                <w:b/>
                <w:color w:val="1A1A1A"/>
                <w:sz w:val="17"/>
              </w:rPr>
              <w:t>How long is it kept?</w:t>
            </w:r>
          </w:p>
        </w:tc>
        <w:tc>
          <w:tcPr>
            <w:tcW w:type="dxa" w:w="7030"/>
            <w:shd w:val="clear" w:fill="FFFFFF"/>
          </w:tcPr>
          <w:p>
            <w:pPr>
              <w:spacing w:after="30" w:before="30" w:line="240" w:lineRule="auto"/>
            </w:pPr>
            <w:r>
              <w:rPr>
                <w:color w:val="1A1A1A"/>
                <w:sz w:val="17"/>
              </w:rPr>
              <w:t>A retention period is configurable but NOT YET ENFORCED. See §17 I-2.</w:t>
            </w:r>
          </w:p>
        </w:tc>
      </w:tr>
    </w:tbl>
    <w:p>
      <w:pPr>
        <w:spacing w:after="80" w:before="0"/>
      </w:pPr>
    </w:p>
    <w:p>
      <w:pPr>
        <w:spacing w:after="80" w:before="0"/>
      </w:pPr>
      <w:r>
        <w:rPr>
          <w:b/>
          <w:color w:val="1A1A1A"/>
          <w:sz w:val="19"/>
        </w:rPr>
        <w:t xml:space="preserve">This is the design's most significant outstanding gap. </w:t>
      </w:r>
      <w:r>
        <w:rPr>
          <w:b w:val="0"/>
          <w:color w:val="1A1A1A"/>
          <w:sz w:val="19"/>
        </w:rPr>
        <w:t>Retention is configurable but nothing deletes on expiry, so interview content persists until removed by hand. It must be resolved before the tool is used with real VMO2 staff. It is small work and is flagged here rather than buried because a reviewer should not have to find it.</w:t>
      </w:r>
    </w:p>
    <w:p>
      <w:r>
        <w:br w:type="page"/>
      </w:r>
    </w:p>
    <w:p>
      <w:pPr>
        <w:spacing w:after="40" w:before="0"/>
      </w:pPr>
      <w:r>
        <w:rPr>
          <w:b/>
          <w:i w:val="0"/>
          <w:color w:val="451B4F"/>
          <w:sz w:val="28"/>
        </w:rPr>
        <w:t>14 · Deployment and environments</w:t>
      </w:r>
    </w:p>
    <w:p>
      <w:pPr>
        <w:spacing w:before="100" w:after="40"/>
        <w:jc w:val="center"/>
      </w:pPr>
      <w:r>
        <w:drawing>
          <wp:inline xmlns:a="http://schemas.openxmlformats.org/drawingml/2006/main" xmlns:pic="http://schemas.openxmlformats.org/drawingml/2006/picture">
            <wp:extent cx="6120000" cy="3409714"/>
            <wp:docPr id="6" name="Picture 6"/>
            <wp:cNvGraphicFramePr>
              <a:graphicFrameLocks noChangeAspect="1"/>
            </wp:cNvGraphicFramePr>
            <a:graphic>
              <a:graphicData uri="http://schemas.openxmlformats.org/drawingml/2006/picture">
                <pic:pic>
                  <pic:nvPicPr>
                    <pic:cNvPr id="0" name="arch-deploy.png"/>
                    <pic:cNvPicPr/>
                  </pic:nvPicPr>
                  <pic:blipFill>
                    <a:blip r:embed="rId14"/>
                    <a:stretch>
                      <a:fillRect/>
                    </a:stretch>
                  </pic:blipFill>
                  <pic:spPr>
                    <a:xfrm>
                      <a:off x="0" y="0"/>
                      <a:ext cx="6120000" cy="3409714"/>
                    </a:xfrm>
                    <a:prstGeom prst="rect"/>
                  </pic:spPr>
                </pic:pic>
              </a:graphicData>
            </a:graphic>
          </wp:inline>
        </w:drawing>
      </w:r>
    </w:p>
    <w:p>
      <w:pPr>
        <w:spacing w:after="180" w:before="0"/>
        <w:jc w:val="center"/>
      </w:pPr>
      <w:r>
        <w:rPr>
          <w:b w:val="0"/>
          <w:i/>
          <w:color w:val="5A5A5A"/>
          <w:sz w:val="16"/>
        </w:rPr>
        <w:t>Figure 6 — The same image on either platform. Differences are confined to the wrapper.</w:t>
      </w:r>
    </w:p>
    <w:p>
      <w:pPr>
        <w:spacing w:after="60" w:before="80"/>
      </w:pPr>
      <w:r>
        <w:rPr>
          <w:b/>
          <w:i w:val="0"/>
          <w:color w:val="712D85"/>
          <w:sz w:val="22"/>
        </w:rPr>
        <w:t>14.1 Runtime</w:t>
      </w:r>
    </w:p>
    <w:p>
      <w:pPr>
        <w:pStyle w:val="ListBullet"/>
        <w:spacing w:after="50" w:line="262" w:lineRule="auto"/>
        <w:ind w:left="340"/>
      </w:pPr>
      <w:r>
        <w:rPr>
          <w:b w:val="0"/>
          <w:color w:val="1A1A1A"/>
          <w:sz w:val="19"/>
        </w:rPr>
        <w:t>Node 20 in a container. Standard build and start commands; a working Dockerfile is in the repository.</w:t>
      </w:r>
    </w:p>
    <w:p>
      <w:pPr>
        <w:pStyle w:val="ListBullet"/>
        <w:spacing w:after="50" w:line="262" w:lineRule="auto"/>
        <w:ind w:left="340"/>
      </w:pPr>
      <w:r>
        <w:rPr>
          <w:b w:val="0"/>
          <w:color w:val="1A1A1A"/>
          <w:sz w:val="19"/>
        </w:rPr>
        <w:t>Migrations run at boot and the container refuses to start if they fail — a half-migrated service is worse than one that does not start.</w:t>
      </w:r>
    </w:p>
    <w:p>
      <w:pPr>
        <w:pStyle w:val="ListBullet"/>
        <w:spacing w:after="50" w:line="262" w:lineRule="auto"/>
        <w:ind w:left="340"/>
      </w:pPr>
      <w:r>
        <w:rPr>
          <w:b w:val="0"/>
          <w:color w:val="1A1A1A"/>
          <w:sz w:val="19"/>
        </w:rPr>
        <w:t>Three secrets: model API key, database URL, console password.</w:t>
      </w:r>
    </w:p>
    <w:p>
      <w:pPr>
        <w:pStyle w:val="ListBullet"/>
        <w:spacing w:after="50" w:line="262" w:lineRule="auto"/>
        <w:ind w:left="340"/>
      </w:pPr>
      <w:r>
        <w:rPr>
          <w:b w:val="0"/>
          <w:color w:val="1A1A1A"/>
          <w:sz w:val="19"/>
        </w:rPr>
        <w:t>Feature flags gate the analysis views, so a pilot audience cannot mistake a proposal for an approved recommendation.</w:t>
      </w:r>
    </w:p>
    <w:p>
      <w:pPr>
        <w:spacing w:after="60" w:before="220"/>
      </w:pPr>
      <w:r>
        <w:rPr>
          <w:b/>
          <w:i w:val="0"/>
          <w:color w:val="712D85"/>
          <w:sz w:val="22"/>
        </w:rPr>
        <w:t>14.2 Environments</w:t>
      </w:r>
    </w:p>
    <w:tbl>
      <w:tblPr>
        <w:tblW w:type="auto" w:w="0"/>
        <w:jc w:val="left"/>
        <w:tblLayout w:type="fixed"/>
        <w:tblLook w:firstColumn="1" w:firstRow="1" w:lastColumn="0" w:lastRow="0" w:noHBand="0" w:noVBand="1" w:val="04A0"/>
      </w:tblPr>
      <w:tblGrid>
        <w:gridCol w:w="3324"/>
        <w:gridCol w:w="3324"/>
        <w:gridCol w:w="3324"/>
      </w:tblGrid>
      <w:tr>
        <w:tc>
          <w:tcPr>
            <w:tcW w:type="dxa" w:w="1701"/>
            <w:shd w:val="clear" w:fill="712D85"/>
          </w:tcPr>
          <w:p>
            <w:pPr>
              <w:spacing w:after="30" w:before="30" w:line="240" w:lineRule="auto"/>
            </w:pPr>
            <w:r>
              <w:rPr>
                <w:b/>
                <w:color w:val="FFFFFF"/>
                <w:sz w:val="17"/>
              </w:rPr>
              <w:t>Environment</w:t>
            </w:r>
          </w:p>
        </w:tc>
        <w:tc>
          <w:tcPr>
            <w:tcW w:type="dxa" w:w="5443"/>
            <w:shd w:val="clear" w:fill="712D85"/>
          </w:tcPr>
          <w:p>
            <w:pPr>
              <w:spacing w:after="30" w:before="30" w:line="240" w:lineRule="auto"/>
            </w:pPr>
            <w:r>
              <w:rPr>
                <w:b/>
                <w:color w:val="FFFFFF"/>
                <w:sz w:val="17"/>
              </w:rPr>
              <w:t>Purpose</w:t>
            </w:r>
          </w:p>
        </w:tc>
        <w:tc>
          <w:tcPr>
            <w:tcW w:type="dxa" w:w="2494"/>
            <w:shd w:val="clear" w:fill="712D85"/>
          </w:tcPr>
          <w:p>
            <w:pPr>
              <w:spacing w:after="30" w:before="30" w:line="240" w:lineRule="auto"/>
            </w:pPr>
            <w:r>
              <w:rPr>
                <w:b/>
                <w:color w:val="FFFFFF"/>
                <w:sz w:val="17"/>
              </w:rPr>
              <w:t>Data</w:t>
            </w:r>
          </w:p>
        </w:tc>
      </w:tr>
      <w:tr>
        <w:tc>
          <w:tcPr>
            <w:tcW w:type="dxa" w:w="1701"/>
            <w:shd w:val="clear" w:fill="FFFFFF"/>
          </w:tcPr>
          <w:p>
            <w:pPr>
              <w:spacing w:after="30" w:before="30" w:line="240" w:lineRule="auto"/>
            </w:pPr>
            <w:r>
              <w:rPr>
                <w:b/>
                <w:color w:val="1A1A1A"/>
                <w:sz w:val="17"/>
              </w:rPr>
              <w:t>Local</w:t>
            </w:r>
          </w:p>
        </w:tc>
        <w:tc>
          <w:tcPr>
            <w:tcW w:type="dxa" w:w="5443"/>
            <w:shd w:val="clear" w:fill="FFFFFF"/>
          </w:tcPr>
          <w:p>
            <w:pPr>
              <w:spacing w:after="30" w:before="30" w:line="240" w:lineRule="auto"/>
            </w:pPr>
            <w:r>
              <w:rPr>
                <w:color w:val="1A1A1A"/>
                <w:sz w:val="17"/>
              </w:rPr>
              <w:t>Development. Containerised Postgres; a seed script and a simulated-interview script produce demo data.</w:t>
            </w:r>
          </w:p>
        </w:tc>
        <w:tc>
          <w:tcPr>
            <w:tcW w:type="dxa" w:w="2494"/>
            <w:shd w:val="clear" w:fill="FFFFFF"/>
          </w:tcPr>
          <w:p>
            <w:pPr>
              <w:spacing w:after="30" w:before="30" w:line="240" w:lineRule="auto"/>
            </w:pPr>
            <w:r>
              <w:rPr>
                <w:color w:val="1A1A1A"/>
                <w:sz w:val="17"/>
              </w:rPr>
              <w:t>Synthetic only</w:t>
            </w:r>
          </w:p>
        </w:tc>
      </w:tr>
      <w:tr>
        <w:tc>
          <w:tcPr>
            <w:tcW w:type="dxa" w:w="1701"/>
            <w:shd w:val="clear" w:fill="FFFFFF"/>
          </w:tcPr>
          <w:p>
            <w:pPr>
              <w:spacing w:after="30" w:before="30" w:line="240" w:lineRule="auto"/>
            </w:pPr>
            <w:r>
              <w:rPr>
                <w:b/>
                <w:color w:val="1A1A1A"/>
                <w:sz w:val="17"/>
              </w:rPr>
              <w:t>Test</w:t>
            </w:r>
          </w:p>
        </w:tc>
        <w:tc>
          <w:tcPr>
            <w:tcW w:type="dxa" w:w="5443"/>
            <w:shd w:val="clear" w:fill="FFFFFF"/>
          </w:tcPr>
          <w:p>
            <w:pPr>
              <w:spacing w:after="30" w:before="30" w:line="240" w:lineRule="auto"/>
            </w:pPr>
            <w:r>
              <w:rPr>
                <w:color w:val="1A1A1A"/>
                <w:sz w:val="17"/>
              </w:rPr>
              <w:t>Automated suites. In-process Postgres; the model is mocked for determinism.</w:t>
            </w:r>
          </w:p>
        </w:tc>
        <w:tc>
          <w:tcPr>
            <w:tcW w:type="dxa" w:w="2494"/>
            <w:shd w:val="clear" w:fill="FFFFFF"/>
          </w:tcPr>
          <w:p>
            <w:pPr>
              <w:spacing w:after="30" w:before="30" w:line="240" w:lineRule="auto"/>
            </w:pPr>
            <w:r>
              <w:rPr>
                <w:color w:val="1A1A1A"/>
                <w:sz w:val="17"/>
              </w:rPr>
              <w:t>Synthetic only</w:t>
            </w:r>
          </w:p>
        </w:tc>
      </w:tr>
      <w:tr>
        <w:tc>
          <w:tcPr>
            <w:tcW w:type="dxa" w:w="1701"/>
            <w:shd w:val="clear" w:fill="FFFFFF"/>
          </w:tcPr>
          <w:p>
            <w:pPr>
              <w:spacing w:after="30" w:before="30" w:line="240" w:lineRule="auto"/>
            </w:pPr>
            <w:r>
              <w:rPr>
                <w:b/>
                <w:color w:val="1A1A1A"/>
                <w:sz w:val="17"/>
              </w:rPr>
              <w:t>Evaluation</w:t>
            </w:r>
          </w:p>
        </w:tc>
        <w:tc>
          <w:tcPr>
            <w:tcW w:type="dxa" w:w="5443"/>
            <w:shd w:val="clear" w:fill="FFFFFF"/>
          </w:tcPr>
          <w:p>
            <w:pPr>
              <w:spacing w:after="30" w:before="30" w:line="240" w:lineRule="auto"/>
            </w:pPr>
            <w:r>
              <w:rPr>
                <w:color w:val="1A1A1A"/>
                <w:sz w:val="17"/>
              </w:rPr>
              <w:t>Live-model quality gate against simulated informants with known ground truth.</w:t>
            </w:r>
          </w:p>
        </w:tc>
        <w:tc>
          <w:tcPr>
            <w:tcW w:type="dxa" w:w="2494"/>
            <w:shd w:val="clear" w:fill="FFFFFF"/>
          </w:tcPr>
          <w:p>
            <w:pPr>
              <w:spacing w:after="30" w:before="30" w:line="240" w:lineRule="auto"/>
            </w:pPr>
            <w:r>
              <w:rPr>
                <w:color w:val="1A1A1A"/>
                <w:sz w:val="17"/>
              </w:rPr>
              <w:t>Synthetic only</w:t>
            </w:r>
          </w:p>
        </w:tc>
      </w:tr>
      <w:tr>
        <w:tc>
          <w:tcPr>
            <w:tcW w:type="dxa" w:w="1701"/>
            <w:shd w:val="clear" w:fill="FFFFFF"/>
          </w:tcPr>
          <w:p>
            <w:pPr>
              <w:spacing w:after="30" w:before="30" w:line="240" w:lineRule="auto"/>
            </w:pPr>
            <w:r>
              <w:rPr>
                <w:b/>
                <w:color w:val="1A1A1A"/>
                <w:sz w:val="17"/>
              </w:rPr>
              <w:t>Pilot</w:t>
            </w:r>
          </w:p>
        </w:tc>
        <w:tc>
          <w:tcPr>
            <w:tcW w:type="dxa" w:w="5443"/>
            <w:shd w:val="clear" w:fill="FFFFFF"/>
          </w:tcPr>
          <w:p>
            <w:pPr>
              <w:spacing w:after="30" w:before="30" w:line="240" w:lineRule="auto"/>
            </w:pPr>
            <w:r>
              <w:rPr>
                <w:color w:val="1A1A1A"/>
                <w:sz w:val="17"/>
              </w:rPr>
              <w:t>Managed container plus managed Postgres, one instance, private database path.</w:t>
            </w:r>
          </w:p>
        </w:tc>
        <w:tc>
          <w:tcPr>
            <w:tcW w:type="dxa" w:w="2494"/>
            <w:shd w:val="clear" w:fill="FFFFFF"/>
          </w:tcPr>
          <w:p>
            <w:pPr>
              <w:spacing w:after="30" w:before="30" w:line="240" w:lineRule="auto"/>
            </w:pPr>
            <w:r>
              <w:rPr>
                <w:color w:val="1A1A1A"/>
                <w:sz w:val="17"/>
              </w:rPr>
              <w:t>Real informants</w:t>
            </w:r>
          </w:p>
        </w:tc>
      </w:tr>
    </w:tbl>
    <w:p>
      <w:pPr>
        <w:spacing w:after="80" w:before="0"/>
      </w:pPr>
    </w:p>
    <w:p>
      <w:pPr>
        <w:spacing w:after="60" w:before="220"/>
      </w:pPr>
      <w:r>
        <w:rPr>
          <w:b/>
          <w:i w:val="0"/>
          <w:color w:val="712D85"/>
          <w:sz w:val="22"/>
        </w:rPr>
        <w:t>14.3 Cloud position</w:t>
      </w:r>
    </w:p>
    <w:p>
      <w:pPr>
        <w:spacing w:after="100" w:before="0"/>
      </w:pPr>
      <w:r>
        <w:rPr>
          <w:b w:val="0"/>
          <w:i w:val="0"/>
          <w:color w:val="1A1A1A"/>
          <w:sz w:val="19"/>
        </w:rPr>
        <w:t>The application is cloud-neutral by construction. Google Cloud has a written and validated runbook; the AWS equivalent is a direct mapping — App Runner or Fargate, RDS, Secrets Manager, ECR — and is a runbook rewrite rather than an application change, estimated at about one day. Neither the code nor the schema changes.</w:t>
      </w:r>
    </w:p>
    <w:p>
      <w:pPr>
        <w:spacing w:after="40" w:before="160"/>
      </w:pPr>
      <w:r>
        <w:rPr>
          <w:b/>
          <w:i w:val="0"/>
          <w:color w:val="451B4F"/>
          <w:sz w:val="28"/>
        </w:rPr>
        <w:t>15 · Test strategy and evidence</w:t>
      </w:r>
    </w:p>
    <w:p>
      <w:pPr>
        <w:spacing w:after="100" w:before="0"/>
      </w:pPr>
      <w:r>
        <w:rPr>
          <w:b w:val="0"/>
          <w:i w:val="0"/>
          <w:color w:val="1A1A1A"/>
          <w:sz w:val="19"/>
        </w:rPr>
        <w:t>The system interviews people about their jobs and produces documents others act on, so quality is measured by a harness rather than asserted by inspection.</w:t>
      </w:r>
    </w:p>
    <w:tbl>
      <w:tblPr>
        <w:tblW w:type="auto" w:w="0"/>
        <w:jc w:val="left"/>
        <w:tblLayout w:type="fixed"/>
        <w:tblLook w:firstColumn="1" w:firstRow="1" w:lastColumn="0" w:lastRow="0" w:noHBand="0" w:noVBand="1" w:val="04A0"/>
      </w:tblPr>
      <w:tblGrid>
        <w:gridCol w:w="3324"/>
        <w:gridCol w:w="3324"/>
        <w:gridCol w:w="3324"/>
      </w:tblGrid>
      <w:tr>
        <w:tc>
          <w:tcPr>
            <w:tcW w:type="dxa" w:w="1928"/>
            <w:shd w:val="clear" w:fill="712D85"/>
          </w:tcPr>
          <w:p>
            <w:pPr>
              <w:spacing w:after="30" w:before="30" w:line="240" w:lineRule="auto"/>
            </w:pPr>
            <w:r>
              <w:rPr>
                <w:b/>
                <w:color w:val="FFFFFF"/>
                <w:sz w:val="17"/>
              </w:rPr>
              <w:t>Layer</w:t>
            </w:r>
          </w:p>
        </w:tc>
        <w:tc>
          <w:tcPr>
            <w:tcW w:type="dxa" w:w="5669"/>
            <w:shd w:val="clear" w:fill="712D85"/>
          </w:tcPr>
          <w:p>
            <w:pPr>
              <w:spacing w:after="30" w:before="30" w:line="240" w:lineRule="auto"/>
            </w:pPr>
            <w:r>
              <w:rPr>
                <w:b/>
                <w:color w:val="FFFFFF"/>
                <w:sz w:val="17"/>
              </w:rPr>
              <w:t>Scope</w:t>
            </w:r>
          </w:p>
        </w:tc>
        <w:tc>
          <w:tcPr>
            <w:tcW w:type="dxa" w:w="2041"/>
            <w:shd w:val="clear" w:fill="712D85"/>
          </w:tcPr>
          <w:p>
            <w:pPr>
              <w:spacing w:after="30" w:before="30" w:line="240" w:lineRule="auto"/>
            </w:pPr>
            <w:r>
              <w:rPr>
                <w:b/>
                <w:color w:val="FFFFFF"/>
                <w:sz w:val="17"/>
              </w:rPr>
              <w:t>Result</w:t>
            </w:r>
          </w:p>
        </w:tc>
      </w:tr>
      <w:tr>
        <w:tc>
          <w:tcPr>
            <w:tcW w:type="dxa" w:w="1928"/>
            <w:shd w:val="clear" w:fill="FFFFFF"/>
          </w:tcPr>
          <w:p>
            <w:pPr>
              <w:spacing w:after="30" w:before="30" w:line="240" w:lineRule="auto"/>
            </w:pPr>
            <w:r>
              <w:rPr>
                <w:b/>
                <w:color w:val="1A1A1A"/>
                <w:sz w:val="17"/>
              </w:rPr>
              <w:t>Static</w:t>
            </w:r>
          </w:p>
        </w:tc>
        <w:tc>
          <w:tcPr>
            <w:tcW w:type="dxa" w:w="5669"/>
            <w:shd w:val="clear" w:fill="FFFFFF"/>
          </w:tcPr>
          <w:p>
            <w:pPr>
              <w:spacing w:after="30" w:before="30" w:line="240" w:lineRule="auto"/>
            </w:pPr>
            <w:r>
              <w:rPr>
                <w:color w:val="1A1A1A"/>
                <w:sz w:val="17"/>
              </w:rPr>
              <w:t>TypeScript strict, lint</w:t>
            </w:r>
          </w:p>
        </w:tc>
        <w:tc>
          <w:tcPr>
            <w:tcW w:type="dxa" w:w="2041"/>
            <w:shd w:val="clear" w:fill="FFFFFF"/>
          </w:tcPr>
          <w:p>
            <w:pPr>
              <w:spacing w:after="30" w:before="30" w:line="240" w:lineRule="auto"/>
            </w:pPr>
            <w:r>
              <w:rPr>
                <w:color w:val="1A1A1A"/>
                <w:sz w:val="17"/>
              </w:rPr>
              <w:t>Zero errors, clean</w:t>
            </w:r>
          </w:p>
        </w:tc>
      </w:tr>
      <w:tr>
        <w:tc>
          <w:tcPr>
            <w:tcW w:type="dxa" w:w="1928"/>
            <w:shd w:val="clear" w:fill="FFFFFF"/>
          </w:tcPr>
          <w:p>
            <w:pPr>
              <w:spacing w:after="30" w:before="30" w:line="240" w:lineRule="auto"/>
            </w:pPr>
            <w:r>
              <w:rPr>
                <w:b/>
                <w:color w:val="1A1A1A"/>
                <w:sz w:val="17"/>
              </w:rPr>
              <w:t>Unit and integration</w:t>
            </w:r>
          </w:p>
        </w:tc>
        <w:tc>
          <w:tcPr>
            <w:tcW w:type="dxa" w:w="5669"/>
            <w:shd w:val="clear" w:fill="FFFFFF"/>
          </w:tcPr>
          <w:p>
            <w:pPr>
              <w:spacing w:after="30" w:before="30" w:line="240" w:lineRule="auto"/>
            </w:pPr>
            <w:r>
              <w:rPr>
                <w:color w:val="1A1A1A"/>
                <w:sz w:val="17"/>
              </w:rPr>
              <w:t>State machine, tool validation, renderer, validators, extraction, gate — 24 files</w:t>
            </w:r>
          </w:p>
        </w:tc>
        <w:tc>
          <w:tcPr>
            <w:tcW w:type="dxa" w:w="2041"/>
            <w:shd w:val="clear" w:fill="FFFFFF"/>
          </w:tcPr>
          <w:p>
            <w:pPr>
              <w:spacing w:after="30" w:before="30" w:line="240" w:lineRule="auto"/>
            </w:pPr>
            <w:r>
              <w:rPr>
                <w:color w:val="1A1A1A"/>
                <w:sz w:val="17"/>
              </w:rPr>
              <w:t>217 passing</w:t>
            </w:r>
          </w:p>
        </w:tc>
      </w:tr>
      <w:tr>
        <w:tc>
          <w:tcPr>
            <w:tcW w:type="dxa" w:w="1928"/>
            <w:shd w:val="clear" w:fill="FFFFFF"/>
          </w:tcPr>
          <w:p>
            <w:pPr>
              <w:spacing w:after="30" w:before="30" w:line="240" w:lineRule="auto"/>
            </w:pPr>
            <w:r>
              <w:rPr>
                <w:b/>
                <w:color w:val="1A1A1A"/>
                <w:sz w:val="17"/>
              </w:rPr>
              <w:t>End-to-end</w:t>
            </w:r>
          </w:p>
        </w:tc>
        <w:tc>
          <w:tcPr>
            <w:tcW w:type="dxa" w:w="5669"/>
            <w:shd w:val="clear" w:fill="FFFFFF"/>
          </w:tcPr>
          <w:p>
            <w:pPr>
              <w:spacing w:after="30" w:before="30" w:line="240" w:lineRule="auto"/>
            </w:pPr>
            <w:r>
              <w:rPr>
                <w:color w:val="1A1A1A"/>
                <w:sz w:val="17"/>
              </w:rPr>
              <w:t>Both faces in a real browser, including resume and data-loss protection</w:t>
            </w:r>
          </w:p>
        </w:tc>
        <w:tc>
          <w:tcPr>
            <w:tcW w:type="dxa" w:w="2041"/>
            <w:shd w:val="clear" w:fill="FFFFFF"/>
          </w:tcPr>
          <w:p>
            <w:pPr>
              <w:spacing w:after="30" w:before="30" w:line="240" w:lineRule="auto"/>
            </w:pPr>
            <w:r>
              <w:rPr>
                <w:color w:val="1A1A1A"/>
                <w:sz w:val="17"/>
              </w:rPr>
              <w:t>10 passing</w:t>
            </w:r>
          </w:p>
        </w:tc>
      </w:tr>
      <w:tr>
        <w:tc>
          <w:tcPr>
            <w:tcW w:type="dxa" w:w="1928"/>
            <w:shd w:val="clear" w:fill="FFFFFF"/>
          </w:tcPr>
          <w:p>
            <w:pPr>
              <w:spacing w:after="30" w:before="30" w:line="240" w:lineRule="auto"/>
            </w:pPr>
            <w:r>
              <w:rPr>
                <w:b/>
                <w:color w:val="1A1A1A"/>
                <w:sz w:val="17"/>
              </w:rPr>
              <w:t>Evaluation gate</w:t>
            </w:r>
          </w:p>
        </w:tc>
        <w:tc>
          <w:tcPr>
            <w:tcW w:type="dxa" w:w="5669"/>
            <w:shd w:val="clear" w:fill="FFFFFF"/>
          </w:tcPr>
          <w:p>
            <w:pPr>
              <w:spacing w:after="30" w:before="30" w:line="240" w:lineRule="auto"/>
            </w:pPr>
            <w:r>
              <w:rPr>
                <w:color w:val="1A1A1A"/>
                <w:sz w:val="17"/>
              </w:rPr>
              <w:t>Three personas × three consecutive live-model runs against known ground truth, nine assertions each</w:t>
            </w:r>
          </w:p>
        </w:tc>
        <w:tc>
          <w:tcPr>
            <w:tcW w:type="dxa" w:w="2041"/>
            <w:shd w:val="clear" w:fill="FFFFFF"/>
          </w:tcPr>
          <w:p>
            <w:pPr>
              <w:spacing w:after="30" w:before="30" w:line="240" w:lineRule="auto"/>
            </w:pPr>
            <w:r>
              <w:rPr>
                <w:color w:val="1A1A1A"/>
                <w:sz w:val="17"/>
              </w:rPr>
              <w:t>9 of 9 passing</w:t>
            </w:r>
          </w:p>
        </w:tc>
      </w:tr>
    </w:tbl>
    <w:p>
      <w:pPr>
        <w:spacing w:after="80" w:before="0"/>
      </w:pPr>
    </w:p>
    <w:p>
      <w:pPr>
        <w:spacing w:after="60" w:before="220"/>
      </w:pPr>
      <w:r>
        <w:rPr>
          <w:b/>
          <w:i w:val="0"/>
          <w:color w:val="712D85"/>
          <w:sz w:val="22"/>
        </w:rPr>
        <w:t>15.1 What the evaluation gate checks</w:t>
      </w:r>
    </w:p>
    <w:p>
      <w:pPr>
        <w:spacing w:after="100" w:before="0"/>
      </w:pPr>
      <w:r>
        <w:rPr>
          <w:b w:val="0"/>
          <w:i w:val="0"/>
          <w:color w:val="1A1A1A"/>
          <w:sz w:val="19"/>
        </w:rPr>
        <w:t>That every facet reached a terminal state; that statements are attributed correctly; that a stated threshold ladder survives into the specification with every rung intact; that a genuine “I don't know” is recorded as such rather than papered over; and that the specification validates. The bar is three consecutive clean runs per persona — not a best-of.</w:t>
      </w:r>
    </w:p>
    <w:p>
      <w:pPr>
        <w:spacing w:after="60" w:before="220"/>
      </w:pPr>
      <w:r>
        <w:rPr>
          <w:b/>
          <w:i w:val="0"/>
          <w:color w:val="712D85"/>
          <w:sz w:val="22"/>
        </w:rPr>
        <w:t>15.2 The limitation of this evidence</w:t>
      </w:r>
    </w:p>
    <w:p>
      <w:pPr>
        <w:spacing w:after="100" w:before="0"/>
      </w:pPr>
      <w:r>
        <w:rPr>
          <w:b/>
          <w:color w:val="1A1A1A"/>
          <w:sz w:val="19"/>
        </w:rPr>
        <w:t xml:space="preserve">This is measured against simulated informants with known ground truth. </w:t>
      </w:r>
      <w:r>
        <w:rPr>
          <w:b w:val="0"/>
          <w:color w:val="1A1A1A"/>
          <w:sz w:val="19"/>
        </w:rPr>
        <w:t>It demonstrates that the engine behaves correctly and neither loses nor invents information. It cannot demonstrate how a real VMO2 employee responds to being interviewed by software, whether they trust it, or whether they answer differently than they would to a colleague. That is what the pilot is for, and no amount of further automated testing substitutes for it.</w:t>
      </w:r>
    </w:p>
    <w:p>
      <w:pPr>
        <w:spacing w:after="40" w:before="160"/>
      </w:pPr>
      <w:r>
        <w:rPr>
          <w:b/>
          <w:i w:val="0"/>
          <w:color w:val="451B4F"/>
          <w:sz w:val="28"/>
        </w:rPr>
        <w:t>16 · Design decisions and alternatives considered</w:t>
      </w:r>
    </w:p>
    <w:p>
      <w:pPr>
        <w:spacing w:after="100" w:before="0"/>
      </w:pPr>
      <w:r>
        <w:rPr>
          <w:b w:val="0"/>
          <w:i w:val="0"/>
          <w:color w:val="1A1A1A"/>
          <w:sz w:val="19"/>
        </w:rPr>
        <w:t>Seventy decisions are recorded in DECISIONS.md, each with its reasoning. The ten most consequential are summarised here with the alternative that was rejected.</w:t>
      </w:r>
    </w:p>
    <w:tbl>
      <w:tblPr>
        <w:tblW w:type="auto" w:w="0"/>
        <w:jc w:val="left"/>
        <w:tblLayout w:type="fixed"/>
        <w:tblLook w:firstColumn="1" w:firstRow="1" w:lastColumn="0" w:lastRow="0" w:noHBand="0" w:noVBand="1" w:val="04A0"/>
      </w:tblPr>
      <w:tblGrid>
        <w:gridCol w:w="3324"/>
        <w:gridCol w:w="3324"/>
        <w:gridCol w:w="3324"/>
      </w:tblGrid>
      <w:tr>
        <w:tc>
          <w:tcPr>
            <w:tcW w:type="dxa" w:w="2608"/>
            <w:shd w:val="clear" w:fill="712D85"/>
          </w:tcPr>
          <w:p>
            <w:pPr>
              <w:spacing w:after="30" w:before="30" w:line="240" w:lineRule="auto"/>
            </w:pPr>
            <w:r>
              <w:rPr>
                <w:b/>
                <w:color w:val="FFFFFF"/>
                <w:sz w:val="17"/>
              </w:rPr>
              <w:t>Decision</w:t>
            </w:r>
          </w:p>
        </w:tc>
        <w:tc>
          <w:tcPr>
            <w:tcW w:type="dxa" w:w="2721"/>
            <w:shd w:val="clear" w:fill="712D85"/>
          </w:tcPr>
          <w:p>
            <w:pPr>
              <w:spacing w:after="30" w:before="30" w:line="240" w:lineRule="auto"/>
            </w:pPr>
            <w:r>
              <w:rPr>
                <w:b/>
                <w:color w:val="FFFFFF"/>
                <w:sz w:val="17"/>
              </w:rPr>
              <w:t>Alternative rejected</w:t>
            </w:r>
          </w:p>
        </w:tc>
        <w:tc>
          <w:tcPr>
            <w:tcW w:type="dxa" w:w="4309"/>
            <w:shd w:val="clear" w:fill="712D85"/>
          </w:tcPr>
          <w:p>
            <w:pPr>
              <w:spacing w:after="30" w:before="30" w:line="240" w:lineRule="auto"/>
            </w:pPr>
            <w:r>
              <w:rPr>
                <w:b/>
                <w:color w:val="FFFFFF"/>
                <w:sz w:val="17"/>
              </w:rPr>
              <w:t>Reason</w:t>
            </w:r>
          </w:p>
        </w:tc>
      </w:tr>
      <w:tr>
        <w:tc>
          <w:tcPr>
            <w:tcW w:type="dxa" w:w="2608"/>
            <w:shd w:val="clear" w:fill="FFFFFF"/>
          </w:tcPr>
          <w:p>
            <w:pPr>
              <w:spacing w:after="30" w:before="30" w:line="240" w:lineRule="auto"/>
            </w:pPr>
            <w:r>
              <w:rPr>
                <w:b/>
                <w:color w:val="1A1A1A"/>
                <w:sz w:val="17"/>
              </w:rPr>
              <w:t>The model proposes; the server validates and applies</w:t>
            </w:r>
          </w:p>
        </w:tc>
        <w:tc>
          <w:tcPr>
            <w:tcW w:type="dxa" w:w="2721"/>
            <w:shd w:val="clear" w:fill="FFFFFF"/>
          </w:tcPr>
          <w:p>
            <w:pPr>
              <w:spacing w:after="30" w:before="30" w:line="240" w:lineRule="auto"/>
            </w:pPr>
            <w:r>
              <w:rPr>
                <w:color w:val="1A1A1A"/>
                <w:sz w:val="17"/>
              </w:rPr>
              <w:t>Let the model write the specification directly</w:t>
            </w:r>
          </w:p>
        </w:tc>
        <w:tc>
          <w:tcPr>
            <w:tcW w:type="dxa" w:w="4309"/>
            <w:shd w:val="clear" w:fill="FFFFFF"/>
          </w:tcPr>
          <w:p>
            <w:pPr>
              <w:spacing w:after="30" w:before="30" w:line="240" w:lineRule="auto"/>
            </w:pPr>
            <w:r>
              <w:rPr>
                <w:color w:val="1A1A1A"/>
                <w:sz w:val="17"/>
              </w:rPr>
              <w:t>A written-up document cannot tell you which parts a person actually said.</w:t>
            </w:r>
          </w:p>
        </w:tc>
      </w:tr>
      <w:tr>
        <w:tc>
          <w:tcPr>
            <w:tcW w:type="dxa" w:w="2608"/>
            <w:shd w:val="clear" w:fill="FFFFFF"/>
          </w:tcPr>
          <w:p>
            <w:pPr>
              <w:spacing w:after="30" w:before="30" w:line="240" w:lineRule="auto"/>
            </w:pPr>
            <w:r>
              <w:rPr>
                <w:b/>
                <w:color w:val="1A1A1A"/>
                <w:sz w:val="17"/>
              </w:rPr>
              <w:t>Coverage derived from a checklist</w:t>
            </w:r>
          </w:p>
        </w:tc>
        <w:tc>
          <w:tcPr>
            <w:tcW w:type="dxa" w:w="2721"/>
            <w:shd w:val="clear" w:fill="FFFFFF"/>
          </w:tcPr>
          <w:p>
            <w:pPr>
              <w:spacing w:after="30" w:before="30" w:line="240" w:lineRule="auto"/>
            </w:pPr>
            <w:r>
              <w:rPr>
                <w:color w:val="1A1A1A"/>
                <w:sz w:val="17"/>
              </w:rPr>
              <w:t>Let the model report its own coverage</w:t>
            </w:r>
          </w:p>
        </w:tc>
        <w:tc>
          <w:tcPr>
            <w:tcW w:type="dxa" w:w="4309"/>
            <w:shd w:val="clear" w:fill="FFFFFF"/>
          </w:tcPr>
          <w:p>
            <w:pPr>
              <w:spacing w:after="30" w:before="30" w:line="240" w:lineRule="auto"/>
            </w:pPr>
            <w:r>
              <w:rPr>
                <w:color w:val="1A1A1A"/>
                <w:sz w:val="17"/>
              </w:rPr>
              <w:t>A model that believes it has covered a topic would move the meter without evidence.</w:t>
            </w:r>
          </w:p>
        </w:tc>
      </w:tr>
      <w:tr>
        <w:tc>
          <w:tcPr>
            <w:tcW w:type="dxa" w:w="2608"/>
            <w:shd w:val="clear" w:fill="FFFFFF"/>
          </w:tcPr>
          <w:p>
            <w:pPr>
              <w:spacing w:after="30" w:before="30" w:line="240" w:lineRule="auto"/>
            </w:pPr>
            <w:r>
              <w:rPr>
                <w:b/>
                <w:color w:val="1A1A1A"/>
                <w:sz w:val="17"/>
              </w:rPr>
              <w:t>answered → unknown_to_informant permitted</w:t>
            </w:r>
          </w:p>
        </w:tc>
        <w:tc>
          <w:tcPr>
            <w:tcW w:type="dxa" w:w="2721"/>
            <w:shd w:val="clear" w:fill="FFFFFF"/>
          </w:tcPr>
          <w:p>
            <w:pPr>
              <w:spacing w:after="30" w:before="30" w:line="240" w:lineRule="auto"/>
            </w:pPr>
            <w:r>
              <w:rPr>
                <w:color w:val="1A1A1A"/>
                <w:sz w:val="17"/>
              </w:rPr>
              <w:t>Keep answered terminal</w:t>
            </w:r>
          </w:p>
        </w:tc>
        <w:tc>
          <w:tcPr>
            <w:tcW w:type="dxa" w:w="4309"/>
            <w:shd w:val="clear" w:fill="FFFFFF"/>
          </w:tcPr>
          <w:p>
            <w:pPr>
              <w:spacing w:after="30" w:before="30" w:line="240" w:lineRule="auto"/>
            </w:pPr>
            <w:r>
              <w:rPr>
                <w:color w:val="1A1A1A"/>
                <w:sz w:val="17"/>
              </w:rPr>
              <w:t>An informant disclaiming a topic must override a checklist that inferred otherwise (DL.58).</w:t>
            </w:r>
          </w:p>
        </w:tc>
      </w:tr>
      <w:tr>
        <w:tc>
          <w:tcPr>
            <w:tcW w:type="dxa" w:w="2608"/>
            <w:shd w:val="clear" w:fill="FFFFFF"/>
          </w:tcPr>
          <w:p>
            <w:pPr>
              <w:spacing w:after="30" w:before="30" w:line="240" w:lineRule="auto"/>
            </w:pPr>
            <w:r>
              <w:rPr>
                <w:b/>
                <w:color w:val="1A1A1A"/>
                <w:sz w:val="17"/>
              </w:rPr>
              <w:t>Statements append-only, corrections supersede</w:t>
            </w:r>
          </w:p>
        </w:tc>
        <w:tc>
          <w:tcPr>
            <w:tcW w:type="dxa" w:w="2721"/>
            <w:shd w:val="clear" w:fill="FFFFFF"/>
          </w:tcPr>
          <w:p>
            <w:pPr>
              <w:spacing w:after="30" w:before="30" w:line="240" w:lineRule="auto"/>
            </w:pPr>
            <w:r>
              <w:rPr>
                <w:color w:val="1A1A1A"/>
                <w:sz w:val="17"/>
              </w:rPr>
              <w:t>Update the row in place</w:t>
            </w:r>
          </w:p>
        </w:tc>
        <w:tc>
          <w:tcPr>
            <w:tcW w:type="dxa" w:w="4309"/>
            <w:shd w:val="clear" w:fill="FFFFFF"/>
          </w:tcPr>
          <w:p>
            <w:pPr>
              <w:spacing w:after="30" w:before="30" w:line="240" w:lineRule="auto"/>
            </w:pPr>
            <w:r>
              <w:rPr>
                <w:color w:val="1A1A1A"/>
                <w:sz w:val="17"/>
              </w:rPr>
              <w:t>Destroys the record of what was said and when. Storage is cheap; the audit trail is not.</w:t>
            </w:r>
          </w:p>
        </w:tc>
      </w:tr>
      <w:tr>
        <w:tc>
          <w:tcPr>
            <w:tcW w:type="dxa" w:w="2608"/>
            <w:shd w:val="clear" w:fill="FFFFFF"/>
          </w:tcPr>
          <w:p>
            <w:pPr>
              <w:spacing w:after="30" w:before="30" w:line="240" w:lineRule="auto"/>
            </w:pPr>
            <w:r>
              <w:rPr>
                <w:b/>
                <w:color w:val="1A1A1A"/>
                <w:sz w:val="17"/>
              </w:rPr>
              <w:t>Frontmatter built in code</w:t>
            </w:r>
          </w:p>
        </w:tc>
        <w:tc>
          <w:tcPr>
            <w:tcW w:type="dxa" w:w="2721"/>
            <w:shd w:val="clear" w:fill="FFFFFF"/>
          </w:tcPr>
          <w:p>
            <w:pPr>
              <w:spacing w:after="30" w:before="30" w:line="240" w:lineRule="auto"/>
            </w:pPr>
            <w:r>
              <w:rPr>
                <w:color w:val="1A1A1A"/>
                <w:sz w:val="17"/>
              </w:rPr>
              <w:t>Ask the model to emit frontmatter</w:t>
            </w:r>
          </w:p>
        </w:tc>
        <w:tc>
          <w:tcPr>
            <w:tcW w:type="dxa" w:w="4309"/>
            <w:shd w:val="clear" w:fill="FFFFFF"/>
          </w:tcPr>
          <w:p>
            <w:pPr>
              <w:spacing w:after="30" w:before="30" w:line="240" w:lineRule="auto"/>
            </w:pPr>
            <w:r>
              <w:rPr>
                <w:color w:val="1A1A1A"/>
                <w:sz w:val="17"/>
              </w:rPr>
              <w:t>A prompt is a request; provenance is a requirement (P4).</w:t>
            </w:r>
          </w:p>
        </w:tc>
      </w:tr>
      <w:tr>
        <w:tc>
          <w:tcPr>
            <w:tcW w:type="dxa" w:w="2608"/>
            <w:shd w:val="clear" w:fill="FFFFFF"/>
          </w:tcPr>
          <w:p>
            <w:pPr>
              <w:spacing w:after="30" w:before="30" w:line="240" w:lineRule="auto"/>
            </w:pPr>
            <w:r>
              <w:rPr>
                <w:b/>
                <w:color w:val="1A1A1A"/>
                <w:sz w:val="17"/>
              </w:rPr>
              <w:t>Structure and evidence extracted in two passes</w:t>
            </w:r>
          </w:p>
        </w:tc>
        <w:tc>
          <w:tcPr>
            <w:tcW w:type="dxa" w:w="2721"/>
            <w:shd w:val="clear" w:fill="FFFFFF"/>
          </w:tcPr>
          <w:p>
            <w:pPr>
              <w:spacing w:after="30" w:before="30" w:line="240" w:lineRule="auto"/>
            </w:pPr>
            <w:r>
              <w:rPr>
                <w:color w:val="1A1A1A"/>
                <w:sz w:val="17"/>
              </w:rPr>
              <w:t>One combined extraction pass</w:t>
            </w:r>
          </w:p>
        </w:tc>
        <w:tc>
          <w:tcPr>
            <w:tcW w:type="dxa" w:w="4309"/>
            <w:shd w:val="clear" w:fill="FFFFFF"/>
          </w:tcPr>
          <w:p>
            <w:pPr>
              <w:spacing w:after="30" w:before="30" w:line="240" w:lineRule="auto"/>
            </w:pPr>
            <w:r>
              <w:rPr>
                <w:color w:val="1A1A1A"/>
                <w:sz w:val="17"/>
              </w:rPr>
              <w:t>One pass produced structure and no evidence; splitting took a real spec from 0 to 14 annotations.</w:t>
            </w:r>
          </w:p>
        </w:tc>
      </w:tr>
      <w:tr>
        <w:tc>
          <w:tcPr>
            <w:tcW w:type="dxa" w:w="2608"/>
            <w:shd w:val="clear" w:fill="FFFFFF"/>
          </w:tcPr>
          <w:p>
            <w:pPr>
              <w:spacing w:after="30" w:before="30" w:line="240" w:lineRule="auto"/>
            </w:pPr>
            <w:r>
              <w:rPr>
                <w:b/>
                <w:color w:val="1A1A1A"/>
                <w:sz w:val="17"/>
              </w:rPr>
              <w:t>Verification gate is per item</w:t>
            </w:r>
          </w:p>
        </w:tc>
        <w:tc>
          <w:tcPr>
            <w:tcW w:type="dxa" w:w="2721"/>
            <w:shd w:val="clear" w:fill="FFFFFF"/>
          </w:tcPr>
          <w:p>
            <w:pPr>
              <w:spacing w:after="30" w:before="30" w:line="240" w:lineRule="auto"/>
            </w:pPr>
            <w:r>
              <w:rPr>
                <w:color w:val="1A1A1A"/>
                <w:sz w:val="17"/>
              </w:rPr>
              <w:t>A set-level approve-all</w:t>
            </w:r>
          </w:p>
        </w:tc>
        <w:tc>
          <w:tcPr>
            <w:tcW w:type="dxa" w:w="4309"/>
            <w:shd w:val="clear" w:fill="FFFFFF"/>
          </w:tcPr>
          <w:p>
            <w:pPr>
              <w:spacing w:after="30" w:before="30" w:line="240" w:lineRule="auto"/>
            </w:pPr>
            <w:r>
              <w:rPr>
                <w:color w:val="1A1A1A"/>
                <w:sz w:val="17"/>
              </w:rPr>
              <w:t>Approving four and rejecting a fifth is normal; one button makes the gate a formality.</w:t>
            </w:r>
          </w:p>
        </w:tc>
      </w:tr>
      <w:tr>
        <w:tc>
          <w:tcPr>
            <w:tcW w:type="dxa" w:w="2608"/>
            <w:shd w:val="clear" w:fill="FFFFFF"/>
          </w:tcPr>
          <w:p>
            <w:pPr>
              <w:spacing w:after="30" w:before="30" w:line="240" w:lineRule="auto"/>
            </w:pPr>
            <w:r>
              <w:rPr>
                <w:b/>
                <w:color w:val="1A1A1A"/>
                <w:sz w:val="17"/>
              </w:rPr>
              <w:t>No confident label without cited evidence</w:t>
            </w:r>
          </w:p>
        </w:tc>
        <w:tc>
          <w:tcPr>
            <w:tcW w:type="dxa" w:w="2721"/>
            <w:shd w:val="clear" w:fill="FFFFFF"/>
          </w:tcPr>
          <w:p>
            <w:pPr>
              <w:spacing w:after="30" w:before="30" w:line="240" w:lineRule="auto"/>
            </w:pPr>
            <w:r>
              <w:rPr>
                <w:color w:val="1A1A1A"/>
                <w:sz w:val="17"/>
              </w:rPr>
              <w:t>Allow uncited labels with a confidence score</w:t>
            </w:r>
          </w:p>
        </w:tc>
        <w:tc>
          <w:tcPr>
            <w:tcW w:type="dxa" w:w="4309"/>
            <w:shd w:val="clear" w:fill="FFFFFF"/>
          </w:tcPr>
          <w:p>
            <w:pPr>
              <w:spacing w:after="30" w:before="30" w:line="240" w:lineRule="auto"/>
            </w:pPr>
            <w:r>
              <w:rPr>
                <w:color w:val="1A1A1A"/>
                <w:sz w:val="17"/>
              </w:rPr>
              <w:t>A modeller can act on “we do not know”; they cannot act on a confident label that is wrong.</w:t>
            </w:r>
          </w:p>
        </w:tc>
      </w:tr>
      <w:tr>
        <w:tc>
          <w:tcPr>
            <w:tcW w:type="dxa" w:w="2608"/>
            <w:shd w:val="clear" w:fill="FFFFFF"/>
          </w:tcPr>
          <w:p>
            <w:pPr>
              <w:spacing w:after="30" w:before="30" w:line="240" w:lineRule="auto"/>
            </w:pPr>
            <w:r>
              <w:rPr>
                <w:b/>
                <w:color w:val="1A1A1A"/>
                <w:sz w:val="17"/>
              </w:rPr>
              <w:t>bpmn-js as a viewer</w:t>
            </w:r>
          </w:p>
        </w:tc>
        <w:tc>
          <w:tcPr>
            <w:tcW w:type="dxa" w:w="2721"/>
            <w:shd w:val="clear" w:fill="FFFFFF"/>
          </w:tcPr>
          <w:p>
            <w:pPr>
              <w:spacing w:after="30" w:before="30" w:line="240" w:lineRule="auto"/>
            </w:pPr>
            <w:r>
              <w:rPr>
                <w:color w:val="1A1A1A"/>
                <w:sz w:val="17"/>
              </w:rPr>
              <w:t>Build a renderer, or embed a full modeller</w:t>
            </w:r>
          </w:p>
        </w:tc>
        <w:tc>
          <w:tcPr>
            <w:tcW w:type="dxa" w:w="4309"/>
            <w:shd w:val="clear" w:fill="FFFFFF"/>
          </w:tcPr>
          <w:p>
            <w:pPr>
              <w:spacing w:after="30" w:before="30" w:line="240" w:lineRule="auto"/>
            </w:pPr>
            <w:r>
              <w:rPr>
                <w:color w:val="1A1A1A"/>
                <w:sz w:val="17"/>
              </w:rPr>
              <w:t>Standards-compliant rendering earns the dependency; a modeller invites editing we do not want (P6).</w:t>
            </w:r>
          </w:p>
        </w:tc>
      </w:tr>
      <w:tr>
        <w:tc>
          <w:tcPr>
            <w:tcW w:type="dxa" w:w="2608"/>
            <w:shd w:val="clear" w:fill="FFFFFF"/>
          </w:tcPr>
          <w:p>
            <w:pPr>
              <w:spacing w:after="30" w:before="30" w:line="240" w:lineRule="auto"/>
            </w:pPr>
            <w:r>
              <w:rPr>
                <w:b/>
                <w:color w:val="1A1A1A"/>
                <w:sz w:val="17"/>
              </w:rPr>
              <w:t>PostgreSQL, SQLite path removed</w:t>
            </w:r>
          </w:p>
        </w:tc>
        <w:tc>
          <w:tcPr>
            <w:tcW w:type="dxa" w:w="2721"/>
            <w:shd w:val="clear" w:fill="FFFFFF"/>
          </w:tcPr>
          <w:p>
            <w:pPr>
              <w:spacing w:after="30" w:before="30" w:line="240" w:lineRule="auto"/>
            </w:pPr>
            <w:r>
              <w:rPr>
                <w:color w:val="1A1A1A"/>
                <w:sz w:val="17"/>
              </w:rPr>
              <w:t>Keep SQLite with a Postgres option</w:t>
            </w:r>
          </w:p>
        </w:tc>
        <w:tc>
          <w:tcPr>
            <w:tcW w:type="dxa" w:w="4309"/>
            <w:shd w:val="clear" w:fill="FFFFFF"/>
          </w:tcPr>
          <w:p>
            <w:pPr>
              <w:spacing w:after="30" w:before="30" w:line="240" w:lineRule="auto"/>
            </w:pPr>
            <w:r>
              <w:rPr>
                <w:color w:val="1A1A1A"/>
                <w:sz w:val="17"/>
              </w:rPr>
              <w:t>Two supported databases means two behaviours to test. The pilot needs managed Postgres.</w:t>
            </w:r>
          </w:p>
        </w:tc>
      </w:tr>
    </w:tbl>
    <w:p>
      <w:pPr>
        <w:spacing w:after="80" w:before="0"/>
      </w:pPr>
    </w:p>
    <w:p>
      <w:r>
        <w:br w:type="page"/>
      </w:r>
    </w:p>
    <w:p>
      <w:pPr>
        <w:spacing w:after="40" w:before="0"/>
      </w:pPr>
      <w:r>
        <w:rPr>
          <w:b/>
          <w:i w:val="0"/>
          <w:color w:val="451B4F"/>
          <w:sz w:val="28"/>
        </w:rPr>
        <w:t>17 · Risks, assumptions, issues and dependencies</w:t>
      </w:r>
    </w:p>
    <w:p>
      <w:pPr>
        <w:spacing w:after="60" w:before="120"/>
      </w:pPr>
      <w:r>
        <w:rPr>
          <w:b/>
          <w:i w:val="0"/>
          <w:color w:val="712D85"/>
          <w:sz w:val="22"/>
        </w:rPr>
        <w:t>17.1 Issues — open and owned</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737"/>
            <w:shd w:val="clear" w:fill="712D85"/>
          </w:tcPr>
          <w:p>
            <w:pPr>
              <w:spacing w:after="30" w:before="30" w:line="240" w:lineRule="auto"/>
            </w:pPr>
            <w:r>
              <w:rPr>
                <w:b/>
                <w:color w:val="FFFFFF"/>
                <w:sz w:val="17"/>
              </w:rPr>
              <w:t>Ref</w:t>
            </w:r>
          </w:p>
        </w:tc>
        <w:tc>
          <w:tcPr>
            <w:tcW w:type="dxa" w:w="3175"/>
            <w:shd w:val="clear" w:fill="712D85"/>
          </w:tcPr>
          <w:p>
            <w:pPr>
              <w:spacing w:after="30" w:before="30" w:line="240" w:lineRule="auto"/>
            </w:pPr>
            <w:r>
              <w:rPr>
                <w:b/>
                <w:color w:val="FFFFFF"/>
                <w:sz w:val="17"/>
              </w:rPr>
              <w:t>Issue</w:t>
            </w:r>
          </w:p>
        </w:tc>
        <w:tc>
          <w:tcPr>
            <w:tcW w:type="dxa" w:w="2608"/>
            <w:shd w:val="clear" w:fill="712D85"/>
          </w:tcPr>
          <w:p>
            <w:pPr>
              <w:spacing w:after="30" w:before="30" w:line="240" w:lineRule="auto"/>
            </w:pPr>
            <w:r>
              <w:rPr>
                <w:b/>
                <w:color w:val="FFFFFF"/>
                <w:sz w:val="17"/>
              </w:rPr>
              <w:t>Impact</w:t>
            </w:r>
          </w:p>
        </w:tc>
        <w:tc>
          <w:tcPr>
            <w:tcW w:type="dxa" w:w="3118"/>
            <w:shd w:val="clear" w:fill="712D85"/>
          </w:tcPr>
          <w:p>
            <w:pPr>
              <w:spacing w:after="30" w:before="30" w:line="240" w:lineRule="auto"/>
            </w:pPr>
            <w:r>
              <w:rPr>
                <w:b/>
                <w:color w:val="FFFFFF"/>
                <w:sz w:val="17"/>
              </w:rPr>
              <w:t>Resolution</w:t>
            </w:r>
          </w:p>
        </w:tc>
      </w:tr>
      <w:tr>
        <w:tc>
          <w:tcPr>
            <w:tcW w:type="dxa" w:w="737"/>
            <w:shd w:val="clear" w:fill="FFFFFF"/>
          </w:tcPr>
          <w:p>
            <w:pPr>
              <w:spacing w:after="30" w:before="30" w:line="240" w:lineRule="auto"/>
            </w:pPr>
            <w:r>
              <w:rPr>
                <w:b/>
                <w:color w:val="1A1A1A"/>
                <w:sz w:val="17"/>
              </w:rPr>
              <w:t>I-1</w:t>
            </w:r>
          </w:p>
        </w:tc>
        <w:tc>
          <w:tcPr>
            <w:tcW w:type="dxa" w:w="3175"/>
            <w:shd w:val="clear" w:fill="FFFFFF"/>
          </w:tcPr>
          <w:p>
            <w:pPr>
              <w:spacing w:after="30" w:before="30" w:line="240" w:lineRule="auto"/>
            </w:pPr>
            <w:r>
              <w:rPr>
                <w:color w:val="1A1A1A"/>
                <w:sz w:val="17"/>
              </w:rPr>
              <w:t>Rate limiting is in-process, so it does not hold across instances</w:t>
            </w:r>
          </w:p>
        </w:tc>
        <w:tc>
          <w:tcPr>
            <w:tcW w:type="dxa" w:w="2608"/>
            <w:shd w:val="clear" w:fill="FFFFFF"/>
          </w:tcPr>
          <w:p>
            <w:pPr>
              <w:spacing w:after="30" w:before="30" w:line="240" w:lineRule="auto"/>
            </w:pPr>
            <w:r>
              <w:rPr>
                <w:color w:val="1A1A1A"/>
                <w:sz w:val="17"/>
              </w:rPr>
              <w:t>Correctness constraint on scaling out</w:t>
            </w:r>
          </w:p>
        </w:tc>
        <w:tc>
          <w:tcPr>
            <w:tcW w:type="dxa" w:w="3118"/>
            <w:shd w:val="clear" w:fill="FFFFFF"/>
          </w:tcPr>
          <w:p>
            <w:pPr>
              <w:spacing w:after="30" w:before="30" w:line="240" w:lineRule="auto"/>
            </w:pPr>
            <w:r>
              <w:rPr>
                <w:color w:val="1A1A1A"/>
                <w:sz w:val="17"/>
              </w:rPr>
              <w:t>Move to a shared store before running more than one instance</w:t>
            </w:r>
          </w:p>
        </w:tc>
      </w:tr>
      <w:tr>
        <w:tc>
          <w:tcPr>
            <w:tcW w:type="dxa" w:w="737"/>
            <w:shd w:val="clear" w:fill="FFFFFF"/>
          </w:tcPr>
          <w:p>
            <w:pPr>
              <w:spacing w:after="30" w:before="30" w:line="240" w:lineRule="auto"/>
            </w:pPr>
            <w:r>
              <w:rPr>
                <w:b/>
                <w:color w:val="1A1A1A"/>
                <w:sz w:val="17"/>
              </w:rPr>
              <w:t>I-2</w:t>
            </w:r>
          </w:p>
        </w:tc>
        <w:tc>
          <w:tcPr>
            <w:tcW w:type="dxa" w:w="3175"/>
            <w:shd w:val="clear" w:fill="FFFFFF"/>
          </w:tcPr>
          <w:p>
            <w:pPr>
              <w:spacing w:after="30" w:before="30" w:line="240" w:lineRule="auto"/>
            </w:pPr>
            <w:r>
              <w:rPr>
                <w:color w:val="1A1A1A"/>
                <w:sz w:val="17"/>
              </w:rPr>
              <w:t>Retention configurable but not enforced</w:t>
            </w:r>
          </w:p>
        </w:tc>
        <w:tc>
          <w:tcPr>
            <w:tcW w:type="dxa" w:w="2608"/>
            <w:shd w:val="clear" w:fill="FFFFFF"/>
          </w:tcPr>
          <w:p>
            <w:pPr>
              <w:spacing w:after="30" w:before="30" w:line="240" w:lineRule="auto"/>
            </w:pPr>
            <w:r>
              <w:rPr>
                <w:color w:val="1A1A1A"/>
                <w:sz w:val="17"/>
              </w:rPr>
              <w:t>Interview content persists indefinitely</w:t>
            </w:r>
          </w:p>
        </w:tc>
        <w:tc>
          <w:tcPr>
            <w:tcW w:type="dxa" w:w="3118"/>
            <w:shd w:val="clear" w:fill="FFFFFF"/>
          </w:tcPr>
          <w:p>
            <w:pPr>
              <w:spacing w:after="30" w:before="30" w:line="240" w:lineRule="auto"/>
            </w:pPr>
            <w:r>
              <w:rPr>
                <w:color w:val="1A1A1A"/>
                <w:sz w:val="17"/>
              </w:rPr>
              <w:t>Required before live informants. Small piece of work</w:t>
            </w:r>
          </w:p>
        </w:tc>
      </w:tr>
      <w:tr>
        <w:tc>
          <w:tcPr>
            <w:tcW w:type="dxa" w:w="737"/>
            <w:shd w:val="clear" w:fill="FFFFFF"/>
          </w:tcPr>
          <w:p>
            <w:pPr>
              <w:spacing w:after="30" w:before="30" w:line="240" w:lineRule="auto"/>
            </w:pPr>
            <w:r>
              <w:rPr>
                <w:b/>
                <w:color w:val="1A1A1A"/>
                <w:sz w:val="17"/>
              </w:rPr>
              <w:t>I-3</w:t>
            </w:r>
          </w:p>
        </w:tc>
        <w:tc>
          <w:tcPr>
            <w:tcW w:type="dxa" w:w="3175"/>
            <w:shd w:val="clear" w:fill="FFFFFF"/>
          </w:tcPr>
          <w:p>
            <w:pPr>
              <w:spacing w:after="30" w:before="30" w:line="240" w:lineRule="auto"/>
            </w:pPr>
            <w:r>
              <w:rPr>
                <w:color w:val="1A1A1A"/>
                <w:sz w:val="17"/>
              </w:rPr>
              <w:t>Single shared console credential</w:t>
            </w:r>
          </w:p>
        </w:tc>
        <w:tc>
          <w:tcPr>
            <w:tcW w:type="dxa" w:w="2608"/>
            <w:shd w:val="clear" w:fill="FFFFFF"/>
          </w:tcPr>
          <w:p>
            <w:pPr>
              <w:spacing w:after="30" w:before="30" w:line="240" w:lineRule="auto"/>
            </w:pPr>
            <w:r>
              <w:rPr>
                <w:color w:val="1A1A1A"/>
                <w:sz w:val="17"/>
              </w:rPr>
              <w:t>Review actions not attributable to a named person</w:t>
            </w:r>
          </w:p>
        </w:tc>
        <w:tc>
          <w:tcPr>
            <w:tcW w:type="dxa" w:w="3118"/>
            <w:shd w:val="clear" w:fill="FFFFFF"/>
          </w:tcPr>
          <w:p>
            <w:pPr>
              <w:spacing w:after="30" w:before="30" w:line="240" w:lineRule="auto"/>
            </w:pPr>
            <w:r>
              <w:rPr>
                <w:color w:val="1A1A1A"/>
                <w:sz w:val="17"/>
              </w:rPr>
              <w:t>Needs user accounts; schema already accommodates it</w:t>
            </w:r>
          </w:p>
        </w:tc>
      </w:tr>
      <w:tr>
        <w:tc>
          <w:tcPr>
            <w:tcW w:type="dxa" w:w="737"/>
            <w:shd w:val="clear" w:fill="FFFFFF"/>
          </w:tcPr>
          <w:p>
            <w:pPr>
              <w:spacing w:after="30" w:before="30" w:line="240" w:lineRule="auto"/>
            </w:pPr>
            <w:r>
              <w:rPr>
                <w:b/>
                <w:color w:val="1A1A1A"/>
                <w:sz w:val="17"/>
              </w:rPr>
              <w:t>I-4</w:t>
            </w:r>
          </w:p>
        </w:tc>
        <w:tc>
          <w:tcPr>
            <w:tcW w:type="dxa" w:w="3175"/>
            <w:shd w:val="clear" w:fill="FFFFFF"/>
          </w:tcPr>
          <w:p>
            <w:pPr>
              <w:spacing w:after="30" w:before="30" w:line="240" w:lineRule="auto"/>
            </w:pPr>
            <w:r>
              <w:rPr>
                <w:color w:val="1A1A1A"/>
                <w:sz w:val="17"/>
              </w:rPr>
              <w:t>No penetration test</w:t>
            </w:r>
          </w:p>
        </w:tc>
        <w:tc>
          <w:tcPr>
            <w:tcW w:type="dxa" w:w="2608"/>
            <w:shd w:val="clear" w:fill="FFFFFF"/>
          </w:tcPr>
          <w:p>
            <w:pPr>
              <w:spacing w:after="30" w:before="30" w:line="240" w:lineRule="auto"/>
            </w:pPr>
            <w:r>
              <w:rPr>
                <w:color w:val="1A1A1A"/>
                <w:sz w:val="17"/>
              </w:rPr>
              <w:t>Unknown residual security risk</w:t>
            </w:r>
          </w:p>
        </w:tc>
        <w:tc>
          <w:tcPr>
            <w:tcW w:type="dxa" w:w="3118"/>
            <w:shd w:val="clear" w:fill="FFFFFF"/>
          </w:tcPr>
          <w:p>
            <w:pPr>
              <w:spacing w:after="30" w:before="30" w:line="240" w:lineRule="auto"/>
            </w:pPr>
            <w:r>
              <w:rPr>
                <w:color w:val="1A1A1A"/>
                <w:sz w:val="17"/>
              </w:rPr>
              <w:t>Recommend before live informants</w:t>
            </w:r>
          </w:p>
        </w:tc>
      </w:tr>
    </w:tbl>
    <w:p>
      <w:pPr>
        <w:spacing w:after="80" w:before="0"/>
      </w:pPr>
    </w:p>
    <w:p>
      <w:pPr>
        <w:spacing w:after="60" w:before="220"/>
      </w:pPr>
      <w:r>
        <w:rPr>
          <w:b/>
          <w:i w:val="0"/>
          <w:color w:val="712D85"/>
          <w:sz w:val="22"/>
        </w:rPr>
        <w:t>17.2 Risks</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737"/>
            <w:shd w:val="clear" w:fill="712D85"/>
          </w:tcPr>
          <w:p>
            <w:pPr>
              <w:spacing w:after="30" w:before="30" w:line="240" w:lineRule="auto"/>
            </w:pPr>
            <w:r>
              <w:rPr>
                <w:b/>
                <w:color w:val="FFFFFF"/>
                <w:sz w:val="17"/>
              </w:rPr>
              <w:t>Ref</w:t>
            </w:r>
          </w:p>
        </w:tc>
        <w:tc>
          <w:tcPr>
            <w:tcW w:type="dxa" w:w="3175"/>
            <w:shd w:val="clear" w:fill="712D85"/>
          </w:tcPr>
          <w:p>
            <w:pPr>
              <w:spacing w:after="30" w:before="30" w:line="240" w:lineRule="auto"/>
            </w:pPr>
            <w:r>
              <w:rPr>
                <w:b/>
                <w:color w:val="FFFFFF"/>
                <w:sz w:val="17"/>
              </w:rPr>
              <w:t>Risk</w:t>
            </w:r>
          </w:p>
        </w:tc>
        <w:tc>
          <w:tcPr>
            <w:tcW w:type="dxa" w:w="1814"/>
            <w:shd w:val="clear" w:fill="712D85"/>
          </w:tcPr>
          <w:p>
            <w:pPr>
              <w:spacing w:after="30" w:before="30" w:line="240" w:lineRule="auto"/>
            </w:pPr>
            <w:r>
              <w:rPr>
                <w:b/>
                <w:color w:val="FFFFFF"/>
                <w:sz w:val="17"/>
              </w:rPr>
              <w:t>Likelihood / impact</w:t>
            </w:r>
          </w:p>
        </w:tc>
        <w:tc>
          <w:tcPr>
            <w:tcW w:type="dxa" w:w="3912"/>
            <w:shd w:val="clear" w:fill="712D85"/>
          </w:tcPr>
          <w:p>
            <w:pPr>
              <w:spacing w:after="30" w:before="30" w:line="240" w:lineRule="auto"/>
            </w:pPr>
            <w:r>
              <w:rPr>
                <w:b/>
                <w:color w:val="FFFFFF"/>
                <w:sz w:val="17"/>
              </w:rPr>
              <w:t>Mitigation</w:t>
            </w:r>
          </w:p>
        </w:tc>
      </w:tr>
      <w:tr>
        <w:tc>
          <w:tcPr>
            <w:tcW w:type="dxa" w:w="737"/>
            <w:shd w:val="clear" w:fill="FFFFFF"/>
          </w:tcPr>
          <w:p>
            <w:pPr>
              <w:spacing w:after="30" w:before="30" w:line="240" w:lineRule="auto"/>
            </w:pPr>
            <w:r>
              <w:rPr>
                <w:b/>
                <w:color w:val="1A1A1A"/>
                <w:sz w:val="17"/>
              </w:rPr>
              <w:t>R-1</w:t>
            </w:r>
          </w:p>
        </w:tc>
        <w:tc>
          <w:tcPr>
            <w:tcW w:type="dxa" w:w="3175"/>
            <w:shd w:val="clear" w:fill="FFFFFF"/>
          </w:tcPr>
          <w:p>
            <w:pPr>
              <w:spacing w:after="30" w:before="30" w:line="240" w:lineRule="auto"/>
            </w:pPr>
            <w:r>
              <w:rPr>
                <w:color w:val="1A1A1A"/>
                <w:sz w:val="17"/>
              </w:rPr>
              <w:t>Informants disengage mid-interview or find it too long</w:t>
            </w:r>
          </w:p>
        </w:tc>
        <w:tc>
          <w:tcPr>
            <w:tcW w:type="dxa" w:w="1814"/>
            <w:shd w:val="clear" w:fill="FFFFFF"/>
          </w:tcPr>
          <w:p>
            <w:pPr>
              <w:spacing w:after="30" w:before="30" w:line="240" w:lineRule="auto"/>
            </w:pPr>
            <w:r>
              <w:rPr>
                <w:color w:val="1A1A1A"/>
                <w:sz w:val="17"/>
              </w:rPr>
              <w:t>Medium / medium</w:t>
            </w:r>
          </w:p>
        </w:tc>
        <w:tc>
          <w:tcPr>
            <w:tcW w:type="dxa" w:w="3912"/>
            <w:shd w:val="clear" w:fill="FFFFFF"/>
          </w:tcPr>
          <w:p>
            <w:pPr>
              <w:spacing w:after="30" w:before="30" w:line="240" w:lineRule="auto"/>
            </w:pPr>
            <w:r>
              <w:rPr>
                <w:color w:val="1A1A1A"/>
                <w:sz w:val="17"/>
              </w:rPr>
              <w:t>Bounded question budget; finishing early is a supported path; resume loses nothing</w:t>
            </w:r>
          </w:p>
        </w:tc>
      </w:tr>
      <w:tr>
        <w:tc>
          <w:tcPr>
            <w:tcW w:type="dxa" w:w="737"/>
            <w:shd w:val="clear" w:fill="FFFFFF"/>
          </w:tcPr>
          <w:p>
            <w:pPr>
              <w:spacing w:after="30" w:before="30" w:line="240" w:lineRule="auto"/>
            </w:pPr>
            <w:r>
              <w:rPr>
                <w:b/>
                <w:color w:val="1A1A1A"/>
                <w:sz w:val="17"/>
              </w:rPr>
              <w:t>R-2</w:t>
            </w:r>
          </w:p>
        </w:tc>
        <w:tc>
          <w:tcPr>
            <w:tcW w:type="dxa" w:w="3175"/>
            <w:shd w:val="clear" w:fill="FFFFFF"/>
          </w:tcPr>
          <w:p>
            <w:pPr>
              <w:spacing w:after="30" w:before="30" w:line="240" w:lineRule="auto"/>
            </w:pPr>
            <w:r>
              <w:rPr>
                <w:color w:val="1A1A1A"/>
                <w:sz w:val="17"/>
              </w:rPr>
              <w:t>Output quality differs with real informants versus simulated ones</w:t>
            </w:r>
          </w:p>
        </w:tc>
        <w:tc>
          <w:tcPr>
            <w:tcW w:type="dxa" w:w="1814"/>
            <w:shd w:val="clear" w:fill="FFFFFF"/>
          </w:tcPr>
          <w:p>
            <w:pPr>
              <w:spacing w:after="30" w:before="30" w:line="240" w:lineRule="auto"/>
            </w:pPr>
            <w:r>
              <w:rPr>
                <w:color w:val="1A1A1A"/>
                <w:sz w:val="17"/>
              </w:rPr>
              <w:t>Medium / high</w:t>
            </w:r>
          </w:p>
        </w:tc>
        <w:tc>
          <w:tcPr>
            <w:tcW w:type="dxa" w:w="3912"/>
            <w:shd w:val="clear" w:fill="FFFFFF"/>
          </w:tcPr>
          <w:p>
            <w:pPr>
              <w:spacing w:after="30" w:before="30" w:line="240" w:lineRule="auto"/>
            </w:pPr>
            <w:r>
              <w:rPr>
                <w:color w:val="1A1A1A"/>
                <w:sz w:val="17"/>
              </w:rPr>
              <w:t>Pilot deliberately scoped small; findings surface conflicts for humans rather than hiding them</w:t>
            </w:r>
          </w:p>
        </w:tc>
      </w:tr>
      <w:tr>
        <w:tc>
          <w:tcPr>
            <w:tcW w:type="dxa" w:w="737"/>
            <w:shd w:val="clear" w:fill="FFFFFF"/>
          </w:tcPr>
          <w:p>
            <w:pPr>
              <w:spacing w:after="30" w:before="30" w:line="240" w:lineRule="auto"/>
            </w:pPr>
            <w:r>
              <w:rPr>
                <w:b/>
                <w:color w:val="1A1A1A"/>
                <w:sz w:val="17"/>
              </w:rPr>
              <w:t>R-3</w:t>
            </w:r>
          </w:p>
        </w:tc>
        <w:tc>
          <w:tcPr>
            <w:tcW w:type="dxa" w:w="3175"/>
            <w:shd w:val="clear" w:fill="FFFFFF"/>
          </w:tcPr>
          <w:p>
            <w:pPr>
              <w:spacing w:after="30" w:before="30" w:line="240" w:lineRule="auto"/>
            </w:pPr>
            <w:r>
              <w:rPr>
                <w:color w:val="1A1A1A"/>
                <w:sz w:val="17"/>
              </w:rPr>
              <w:t>Mandated change of model vendor</w:t>
            </w:r>
          </w:p>
        </w:tc>
        <w:tc>
          <w:tcPr>
            <w:tcW w:type="dxa" w:w="1814"/>
            <w:shd w:val="clear" w:fill="FFFFFF"/>
          </w:tcPr>
          <w:p>
            <w:pPr>
              <w:spacing w:after="30" w:before="30" w:line="240" w:lineRule="auto"/>
            </w:pPr>
            <w:r>
              <w:rPr>
                <w:color w:val="1A1A1A"/>
                <w:sz w:val="17"/>
              </w:rPr>
              <w:t>Medium / high</w:t>
            </w:r>
          </w:p>
        </w:tc>
        <w:tc>
          <w:tcPr>
            <w:tcW w:type="dxa" w:w="3912"/>
            <w:shd w:val="clear" w:fill="FFFFFF"/>
          </w:tcPr>
          <w:p>
            <w:pPr>
              <w:spacing w:after="30" w:before="30" w:line="240" w:lineRule="auto"/>
            </w:pPr>
            <w:r>
              <w:rPr>
                <w:color w:val="1A1A1A"/>
                <w:sz w:val="17"/>
              </w:rPr>
              <w:t>Architecture depends on validated tool calls; the quality gate must be re-passed. See the decision note</w:t>
            </w:r>
          </w:p>
        </w:tc>
      </w:tr>
      <w:tr>
        <w:tc>
          <w:tcPr>
            <w:tcW w:type="dxa" w:w="737"/>
            <w:shd w:val="clear" w:fill="FFFFFF"/>
          </w:tcPr>
          <w:p>
            <w:pPr>
              <w:spacing w:after="30" w:before="30" w:line="240" w:lineRule="auto"/>
            </w:pPr>
            <w:r>
              <w:rPr>
                <w:b/>
                <w:color w:val="1A1A1A"/>
                <w:sz w:val="17"/>
              </w:rPr>
              <w:t>R-4</w:t>
            </w:r>
          </w:p>
        </w:tc>
        <w:tc>
          <w:tcPr>
            <w:tcW w:type="dxa" w:w="3175"/>
            <w:shd w:val="clear" w:fill="FFFFFF"/>
          </w:tcPr>
          <w:p>
            <w:pPr>
              <w:spacing w:after="30" w:before="30" w:line="240" w:lineRule="auto"/>
            </w:pPr>
            <w:r>
              <w:rPr>
                <w:color w:val="1A1A1A"/>
                <w:sz w:val="17"/>
              </w:rPr>
              <w:t>Model provider availability or latency</w:t>
            </w:r>
          </w:p>
        </w:tc>
        <w:tc>
          <w:tcPr>
            <w:tcW w:type="dxa" w:w="1814"/>
            <w:shd w:val="clear" w:fill="FFFFFF"/>
          </w:tcPr>
          <w:p>
            <w:pPr>
              <w:spacing w:after="30" w:before="30" w:line="240" w:lineRule="auto"/>
            </w:pPr>
            <w:r>
              <w:rPr>
                <w:color w:val="1A1A1A"/>
                <w:sz w:val="17"/>
              </w:rPr>
              <w:t>Low / medium</w:t>
            </w:r>
          </w:p>
        </w:tc>
        <w:tc>
          <w:tcPr>
            <w:tcW w:type="dxa" w:w="3912"/>
            <w:shd w:val="clear" w:fill="FFFFFF"/>
          </w:tcPr>
          <w:p>
            <w:pPr>
              <w:spacing w:after="30" w:before="30" w:line="240" w:lineRule="auto"/>
            </w:pPr>
            <w:r>
              <w:rPr>
                <w:color w:val="1A1A1A"/>
                <w:sz w:val="17"/>
              </w:rPr>
              <w:t>Retries with backoff; a failed turn preserves the answer and is retryable</w:t>
            </w:r>
          </w:p>
        </w:tc>
      </w:tr>
      <w:tr>
        <w:tc>
          <w:tcPr>
            <w:tcW w:type="dxa" w:w="737"/>
            <w:shd w:val="clear" w:fill="FFFFFF"/>
          </w:tcPr>
          <w:p>
            <w:pPr>
              <w:spacing w:after="30" w:before="30" w:line="240" w:lineRule="auto"/>
            </w:pPr>
            <w:r>
              <w:rPr>
                <w:b/>
                <w:color w:val="1A1A1A"/>
                <w:sz w:val="17"/>
              </w:rPr>
              <w:t>R-5</w:t>
            </w:r>
          </w:p>
        </w:tc>
        <w:tc>
          <w:tcPr>
            <w:tcW w:type="dxa" w:w="3175"/>
            <w:shd w:val="clear" w:fill="FFFFFF"/>
          </w:tcPr>
          <w:p>
            <w:pPr>
              <w:spacing w:after="30" w:before="30" w:line="240" w:lineRule="auto"/>
            </w:pPr>
            <w:r>
              <w:rPr>
                <w:color w:val="1A1A1A"/>
                <w:sz w:val="17"/>
              </w:rPr>
              <w:t>Analysis output mistaken for approved recommendation</w:t>
            </w:r>
          </w:p>
        </w:tc>
        <w:tc>
          <w:tcPr>
            <w:tcW w:type="dxa" w:w="1814"/>
            <w:shd w:val="clear" w:fill="FFFFFF"/>
          </w:tcPr>
          <w:p>
            <w:pPr>
              <w:spacing w:after="30" w:before="30" w:line="240" w:lineRule="auto"/>
            </w:pPr>
            <w:r>
              <w:rPr>
                <w:color w:val="1A1A1A"/>
                <w:sz w:val="17"/>
              </w:rPr>
              <w:t>Low / high</w:t>
            </w:r>
          </w:p>
        </w:tc>
        <w:tc>
          <w:tcPr>
            <w:tcW w:type="dxa" w:w="3912"/>
            <w:shd w:val="clear" w:fill="FFFFFF"/>
          </w:tcPr>
          <w:p>
            <w:pPr>
              <w:spacing w:after="30" w:before="30" w:line="240" w:lineRule="auto"/>
            </w:pPr>
            <w:r>
              <w:rPr>
                <w:color w:val="1A1A1A"/>
                <w:sz w:val="17"/>
              </w:rPr>
              <w:t>Verification gate plus feature flags; every proposal is labelled unverified</w:t>
            </w:r>
          </w:p>
        </w:tc>
      </w:tr>
    </w:tbl>
    <w:p>
      <w:pPr>
        <w:spacing w:after="80" w:before="0"/>
      </w:pPr>
    </w:p>
    <w:p>
      <w:pPr>
        <w:spacing w:after="60" w:before="220"/>
      </w:pPr>
      <w:r>
        <w:rPr>
          <w:b/>
          <w:i w:val="0"/>
          <w:color w:val="712D85"/>
          <w:sz w:val="22"/>
        </w:rPr>
        <w:t>17.3 Assumptions</w:t>
      </w:r>
    </w:p>
    <w:p>
      <w:pPr>
        <w:pStyle w:val="ListBullet"/>
        <w:spacing w:after="50" w:line="262" w:lineRule="auto"/>
        <w:ind w:left="340"/>
      </w:pPr>
      <w:r>
        <w:rPr>
          <w:b w:val="0"/>
          <w:color w:val="1A1A1A"/>
          <w:sz w:val="19"/>
        </w:rPr>
        <w:t>Informants have a VMO2 email address and can open a link on a phone or laptop.</w:t>
      </w:r>
    </w:p>
    <w:p>
      <w:pPr>
        <w:pStyle w:val="ListBullet"/>
        <w:spacing w:after="50" w:line="262" w:lineRule="auto"/>
        <w:ind w:left="340"/>
      </w:pPr>
      <w:r>
        <w:rPr>
          <w:b w:val="0"/>
          <w:color w:val="1A1A1A"/>
          <w:sz w:val="19"/>
        </w:rPr>
        <w:t>A process architect reviews output before it is used. The system is designed around this, not despite it.</w:t>
      </w:r>
    </w:p>
    <w:p>
      <w:pPr>
        <w:pStyle w:val="ListBullet"/>
        <w:spacing w:after="50" w:line="262" w:lineRule="auto"/>
        <w:ind w:left="340"/>
      </w:pPr>
      <w:r>
        <w:rPr>
          <w:b w:val="0"/>
          <w:color w:val="1A1A1A"/>
          <w:sz w:val="19"/>
        </w:rPr>
        <w:t>Managed PostgreSQL 16 and container hosting are available in the chosen cloud.</w:t>
      </w:r>
    </w:p>
    <w:p>
      <w:pPr>
        <w:pStyle w:val="ListBullet"/>
        <w:spacing w:after="50" w:line="262" w:lineRule="auto"/>
        <w:ind w:left="340"/>
      </w:pPr>
      <w:r>
        <w:rPr>
          <w:b w:val="0"/>
          <w:color w:val="1A1A1A"/>
          <w:sz w:val="19"/>
        </w:rPr>
        <w:t>Interview content may be sent to a model provider under existing agreements — to be confirmed by the AI governance team.</w:t>
      </w:r>
    </w:p>
    <w:p>
      <w:pPr>
        <w:spacing w:after="60" w:before="220"/>
      </w:pPr>
      <w:r>
        <w:rPr>
          <w:b/>
          <w:i w:val="0"/>
          <w:color w:val="712D85"/>
          <w:sz w:val="22"/>
        </w:rPr>
        <w:t>17.4 Dependencies</w:t>
      </w:r>
    </w:p>
    <w:p>
      <w:pPr>
        <w:pStyle w:val="ListBullet"/>
        <w:spacing w:after="50" w:line="262" w:lineRule="auto"/>
        <w:ind w:left="340"/>
      </w:pPr>
      <w:r>
        <w:rPr>
          <w:b w:val="0"/>
          <w:color w:val="1A1A1A"/>
          <w:sz w:val="19"/>
        </w:rPr>
        <w:t>A model API, provisioned and governed. Vendor decision outstanding.</w:t>
      </w:r>
    </w:p>
    <w:p>
      <w:pPr>
        <w:pStyle w:val="ListBullet"/>
        <w:spacing w:after="50" w:line="262" w:lineRule="auto"/>
        <w:ind w:left="340"/>
      </w:pPr>
      <w:r>
        <w:rPr>
          <w:b w:val="0"/>
          <w:color w:val="1A1A1A"/>
          <w:sz w:val="19"/>
        </w:rPr>
        <w:t>Cloud hosting and a managed database. Platform decision outstanding.</w:t>
      </w:r>
    </w:p>
    <w:p>
      <w:pPr>
        <w:pStyle w:val="ListBullet"/>
        <w:spacing w:after="50" w:line="262" w:lineRule="auto"/>
        <w:ind w:left="340"/>
      </w:pPr>
      <w:r>
        <w:rPr>
          <w:b w:val="0"/>
          <w:color w:val="1A1A1A"/>
          <w:sz w:val="19"/>
        </w:rPr>
        <w:t>A speech-to-text service, optional — the system is fully usable without it.</w:t>
      </w:r>
    </w:p>
    <w:p>
      <w:pPr>
        <w:pStyle w:val="ListBullet"/>
        <w:spacing w:after="50" w:line="262" w:lineRule="auto"/>
        <w:ind w:left="340"/>
      </w:pPr>
      <w:r>
        <w:rPr>
          <w:b w:val="0"/>
          <w:color w:val="1A1A1A"/>
          <w:sz w:val="19"/>
        </w:rPr>
        <w:t>Ten runtime npm dependencies, each with a recorded justification.</w:t>
      </w:r>
    </w:p>
    <w:p>
      <w:pPr>
        <w:spacing w:after="40" w:before="160"/>
      </w:pPr>
      <w:r>
        <w:rPr>
          <w:b/>
          <w:i w:val="0"/>
          <w:color w:val="451B4F"/>
          <w:sz w:val="28"/>
        </w:rPr>
        <w:t>18 · Traceability</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2041"/>
            <w:shd w:val="clear" w:fill="712D85"/>
          </w:tcPr>
          <w:p>
            <w:pPr>
              <w:spacing w:after="30" w:before="30" w:line="240" w:lineRule="auto"/>
            </w:pPr>
            <w:r>
              <w:rPr>
                <w:b/>
                <w:color w:val="FFFFFF"/>
                <w:sz w:val="17"/>
              </w:rPr>
              <w:t>Requirement</w:t>
            </w:r>
          </w:p>
        </w:tc>
        <w:tc>
          <w:tcPr>
            <w:tcW w:type="dxa" w:w="964"/>
            <w:shd w:val="clear" w:fill="712D85"/>
          </w:tcPr>
          <w:p>
            <w:pPr>
              <w:spacing w:after="30" w:before="30" w:line="240" w:lineRule="auto"/>
            </w:pPr>
            <w:r>
              <w:rPr>
                <w:b/>
                <w:color w:val="FFFFFF"/>
                <w:sz w:val="17"/>
              </w:rPr>
              <w:t>Design</w:t>
            </w:r>
          </w:p>
        </w:tc>
        <w:tc>
          <w:tcPr>
            <w:tcW w:type="dxa" w:w="3175"/>
            <w:shd w:val="clear" w:fill="712D85"/>
          </w:tcPr>
          <w:p>
            <w:pPr>
              <w:spacing w:after="30" w:before="30" w:line="240" w:lineRule="auto"/>
            </w:pPr>
            <w:r>
              <w:rPr>
                <w:b/>
                <w:color w:val="FFFFFF"/>
                <w:sz w:val="17"/>
              </w:rPr>
              <w:t>Enforcement in code</w:t>
            </w:r>
          </w:p>
        </w:tc>
        <w:tc>
          <w:tcPr>
            <w:tcW w:type="dxa" w:w="3458"/>
            <w:shd w:val="clear" w:fill="712D85"/>
          </w:tcPr>
          <w:p>
            <w:pPr>
              <w:spacing w:after="30" w:before="30" w:line="240" w:lineRule="auto"/>
            </w:pPr>
            <w:r>
              <w:rPr>
                <w:b/>
                <w:color w:val="FFFFFF"/>
                <w:sz w:val="17"/>
              </w:rPr>
              <w:t>Test evidence</w:t>
            </w:r>
          </w:p>
        </w:tc>
      </w:tr>
      <w:tr>
        <w:tc>
          <w:tcPr>
            <w:tcW w:type="dxa" w:w="2041"/>
            <w:shd w:val="clear" w:fill="FFFFFF"/>
          </w:tcPr>
          <w:p>
            <w:pPr>
              <w:spacing w:after="30" w:before="30" w:line="240" w:lineRule="auto"/>
            </w:pPr>
            <w:r>
              <w:rPr>
                <w:b/>
                <w:color w:val="1A1A1A"/>
                <w:sz w:val="17"/>
              </w:rPr>
              <w:t>P1 · Server disposes</w:t>
            </w:r>
          </w:p>
        </w:tc>
        <w:tc>
          <w:tcPr>
            <w:tcW w:type="dxa" w:w="964"/>
            <w:shd w:val="clear" w:fill="FFFFFF"/>
          </w:tcPr>
          <w:p>
            <w:pPr>
              <w:spacing w:after="30" w:before="30" w:line="240" w:lineRule="auto"/>
            </w:pPr>
            <w:r>
              <w:rPr>
                <w:color w:val="1A1A1A"/>
                <w:sz w:val="17"/>
              </w:rPr>
              <w:t>§5.2</w:t>
            </w:r>
          </w:p>
        </w:tc>
        <w:tc>
          <w:tcPr>
            <w:tcW w:type="dxa" w:w="3175"/>
            <w:shd w:val="clear" w:fill="FFFFFF"/>
          </w:tcPr>
          <w:p>
            <w:pPr>
              <w:spacing w:after="30" w:before="30" w:line="240" w:lineRule="auto"/>
            </w:pPr>
            <w:r>
              <w:rPr>
                <w:color w:val="1A1A1A"/>
                <w:sz w:val="17"/>
              </w:rPr>
              <w:t>Tool validation; no model write path</w:t>
            </w:r>
          </w:p>
        </w:tc>
        <w:tc>
          <w:tcPr>
            <w:tcW w:type="dxa" w:w="3458"/>
            <w:shd w:val="clear" w:fill="FFFFFF"/>
          </w:tcPr>
          <w:p>
            <w:pPr>
              <w:spacing w:after="30" w:before="30" w:line="240" w:lineRule="auto"/>
            </w:pPr>
            <w:r>
              <w:rPr>
                <w:color w:val="1A1A1A"/>
                <w:sz w:val="17"/>
              </w:rPr>
              <w:t>Tool validation suite; every illegal call rejected</w:t>
            </w:r>
          </w:p>
        </w:tc>
      </w:tr>
      <w:tr>
        <w:tc>
          <w:tcPr>
            <w:tcW w:type="dxa" w:w="2041"/>
            <w:shd w:val="clear" w:fill="FFFFFF"/>
          </w:tcPr>
          <w:p>
            <w:pPr>
              <w:spacing w:after="30" w:before="30" w:line="240" w:lineRule="auto"/>
            </w:pPr>
            <w:r>
              <w:rPr>
                <w:b/>
                <w:color w:val="1A1A1A"/>
                <w:sz w:val="17"/>
              </w:rPr>
              <w:t>P2 · Attribute, never average</w:t>
            </w:r>
          </w:p>
        </w:tc>
        <w:tc>
          <w:tcPr>
            <w:tcW w:type="dxa" w:w="964"/>
            <w:shd w:val="clear" w:fill="FFFFFF"/>
          </w:tcPr>
          <w:p>
            <w:pPr>
              <w:spacing w:after="30" w:before="30" w:line="240" w:lineRule="auto"/>
            </w:pPr>
            <w:r>
              <w:rPr>
                <w:color w:val="1A1A1A"/>
                <w:sz w:val="17"/>
              </w:rPr>
              <w:t>§9.1</w:t>
            </w:r>
          </w:p>
        </w:tc>
        <w:tc>
          <w:tcPr>
            <w:tcW w:type="dxa" w:w="3175"/>
            <w:shd w:val="clear" w:fill="FFFFFF"/>
          </w:tcPr>
          <w:p>
            <w:pPr>
              <w:spacing w:after="30" w:before="30" w:line="240" w:lineRule="auto"/>
            </w:pPr>
            <w:r>
              <w:rPr>
                <w:color w:val="1A1A1A"/>
                <w:sz w:val="17"/>
              </w:rPr>
              <w:t>Statements keyed to informant; conflicts become findings</w:t>
            </w:r>
          </w:p>
        </w:tc>
        <w:tc>
          <w:tcPr>
            <w:tcW w:type="dxa" w:w="3458"/>
            <w:shd w:val="clear" w:fill="FFFFFF"/>
          </w:tcPr>
          <w:p>
            <w:pPr>
              <w:spacing w:after="30" w:before="30" w:line="240" w:lineRule="auto"/>
            </w:pPr>
            <w:r>
              <w:rPr>
                <w:color w:val="1A1A1A"/>
                <w:sz w:val="17"/>
              </w:rPr>
              <w:t>Console end-to-end test surfaces a conflict</w:t>
            </w:r>
          </w:p>
        </w:tc>
      </w:tr>
      <w:tr>
        <w:tc>
          <w:tcPr>
            <w:tcW w:type="dxa" w:w="2041"/>
            <w:shd w:val="clear" w:fill="FFFFFF"/>
          </w:tcPr>
          <w:p>
            <w:pPr>
              <w:spacing w:after="30" w:before="30" w:line="240" w:lineRule="auto"/>
            </w:pPr>
            <w:r>
              <w:rPr>
                <w:b/>
                <w:color w:val="1A1A1A"/>
                <w:sz w:val="17"/>
              </w:rPr>
              <w:t>P3 · No silent gaps</w:t>
            </w:r>
          </w:p>
        </w:tc>
        <w:tc>
          <w:tcPr>
            <w:tcW w:type="dxa" w:w="964"/>
            <w:shd w:val="clear" w:fill="FFFFFF"/>
          </w:tcPr>
          <w:p>
            <w:pPr>
              <w:spacing w:after="30" w:before="30" w:line="240" w:lineRule="auto"/>
            </w:pPr>
            <w:r>
              <w:rPr>
                <w:color w:val="1A1A1A"/>
                <w:sz w:val="17"/>
              </w:rPr>
              <w:t>§6</w:t>
            </w:r>
          </w:p>
        </w:tc>
        <w:tc>
          <w:tcPr>
            <w:tcW w:type="dxa" w:w="3175"/>
            <w:shd w:val="clear" w:fill="FFFFFF"/>
          </w:tcPr>
          <w:p>
            <w:pPr>
              <w:spacing w:after="30" w:before="30" w:line="240" w:lineRule="auto"/>
            </w:pPr>
            <w:r>
              <w:rPr>
                <w:color w:val="1A1A1A"/>
                <w:sz w:val="17"/>
              </w:rPr>
              <w:t>Terminal-state machine; end_interview refused</w:t>
            </w:r>
          </w:p>
        </w:tc>
        <w:tc>
          <w:tcPr>
            <w:tcW w:type="dxa" w:w="3458"/>
            <w:shd w:val="clear" w:fill="FFFFFF"/>
          </w:tcPr>
          <w:p>
            <w:pPr>
              <w:spacing w:after="30" w:before="30" w:line="240" w:lineRule="auto"/>
            </w:pPr>
            <w:r>
              <w:rPr>
                <w:color w:val="1A1A1A"/>
                <w:sz w:val="17"/>
              </w:rPr>
              <w:t>Eval assertion; golden-path E2E ends 11 answered + 1 unknown</w:t>
            </w:r>
          </w:p>
        </w:tc>
      </w:tr>
      <w:tr>
        <w:tc>
          <w:tcPr>
            <w:tcW w:type="dxa" w:w="2041"/>
            <w:shd w:val="clear" w:fill="FFFFFF"/>
          </w:tcPr>
          <w:p>
            <w:pPr>
              <w:spacing w:after="30" w:before="30" w:line="240" w:lineRule="auto"/>
            </w:pPr>
            <w:r>
              <w:rPr>
                <w:b/>
                <w:color w:val="1A1A1A"/>
                <w:sz w:val="17"/>
              </w:rPr>
              <w:t>P4 · Structural provenance</w:t>
            </w:r>
          </w:p>
        </w:tc>
        <w:tc>
          <w:tcPr>
            <w:tcW w:type="dxa" w:w="964"/>
            <w:shd w:val="clear" w:fill="FFFFFF"/>
          </w:tcPr>
          <w:p>
            <w:pPr>
              <w:spacing w:after="30" w:before="30" w:line="240" w:lineRule="auto"/>
            </w:pPr>
            <w:r>
              <w:rPr>
                <w:color w:val="1A1A1A"/>
                <w:sz w:val="17"/>
              </w:rPr>
              <w:t>§7</w:t>
            </w:r>
          </w:p>
        </w:tc>
        <w:tc>
          <w:tcPr>
            <w:tcW w:type="dxa" w:w="3175"/>
            <w:shd w:val="clear" w:fill="FFFFFF"/>
          </w:tcPr>
          <w:p>
            <w:pPr>
              <w:spacing w:after="30" w:before="30" w:line="240" w:lineRule="auto"/>
            </w:pPr>
            <w:r>
              <w:rPr>
                <w:color w:val="1A1A1A"/>
                <w:sz w:val="17"/>
              </w:rPr>
              <w:t>Renderer emits attribution</w:t>
            </w:r>
          </w:p>
        </w:tc>
        <w:tc>
          <w:tcPr>
            <w:tcW w:type="dxa" w:w="3458"/>
            <w:shd w:val="clear" w:fill="FFFFFF"/>
          </w:tcPr>
          <w:p>
            <w:pPr>
              <w:spacing w:after="30" w:before="30" w:line="240" w:lineRule="auto"/>
            </w:pPr>
            <w:r>
              <w:rPr>
                <w:color w:val="1A1A1A"/>
                <w:sz w:val="17"/>
              </w:rPr>
              <w:t>Renderer unit tests; spec validator</w:t>
            </w:r>
          </w:p>
        </w:tc>
      </w:tr>
      <w:tr>
        <w:tc>
          <w:tcPr>
            <w:tcW w:type="dxa" w:w="2041"/>
            <w:shd w:val="clear" w:fill="FFFFFF"/>
          </w:tcPr>
          <w:p>
            <w:pPr>
              <w:spacing w:after="30" w:before="30" w:line="240" w:lineRule="auto"/>
            </w:pPr>
            <w:r>
              <w:rPr>
                <w:b/>
                <w:color w:val="1A1A1A"/>
                <w:sz w:val="17"/>
              </w:rPr>
              <w:t>P7 · Privacy</w:t>
            </w:r>
          </w:p>
        </w:tc>
        <w:tc>
          <w:tcPr>
            <w:tcW w:type="dxa" w:w="964"/>
            <w:shd w:val="clear" w:fill="FFFFFF"/>
          </w:tcPr>
          <w:p>
            <w:pPr>
              <w:spacing w:after="30" w:before="30" w:line="240" w:lineRule="auto"/>
            </w:pPr>
            <w:r>
              <w:rPr>
                <w:color w:val="1A1A1A"/>
                <w:sz w:val="17"/>
              </w:rPr>
              <w:t>§13</w:t>
            </w:r>
          </w:p>
        </w:tc>
        <w:tc>
          <w:tcPr>
            <w:tcW w:type="dxa" w:w="3175"/>
            <w:shd w:val="clear" w:fill="FFFFFF"/>
          </w:tcPr>
          <w:p>
            <w:pPr>
              <w:spacing w:after="30" w:before="30" w:line="240" w:lineRule="auto"/>
            </w:pPr>
            <w:r>
              <w:rPr>
                <w:color w:val="1A1A1A"/>
                <w:sz w:val="17"/>
              </w:rPr>
              <w:t>Email excluded at the renderer</w:t>
            </w:r>
          </w:p>
        </w:tc>
        <w:tc>
          <w:tcPr>
            <w:tcW w:type="dxa" w:w="3458"/>
            <w:shd w:val="clear" w:fill="FFFFFF"/>
          </w:tcPr>
          <w:p>
            <w:pPr>
              <w:spacing w:after="30" w:before="30" w:line="240" w:lineRule="auto"/>
            </w:pPr>
            <w:r>
              <w:rPr>
                <w:color w:val="1A1A1A"/>
                <w:sz w:val="17"/>
              </w:rPr>
              <w:t>Renderer unit tests</w:t>
            </w:r>
          </w:p>
        </w:tc>
      </w:tr>
      <w:tr>
        <w:tc>
          <w:tcPr>
            <w:tcW w:type="dxa" w:w="2041"/>
            <w:shd w:val="clear" w:fill="FFFFFF"/>
          </w:tcPr>
          <w:p>
            <w:pPr>
              <w:spacing w:after="30" w:before="30" w:line="240" w:lineRule="auto"/>
            </w:pPr>
            <w:r>
              <w:rPr>
                <w:b/>
                <w:color w:val="1A1A1A"/>
                <w:sz w:val="17"/>
              </w:rPr>
              <w:t>FR-3 · Engine</w:t>
            </w:r>
          </w:p>
        </w:tc>
        <w:tc>
          <w:tcPr>
            <w:tcW w:type="dxa" w:w="964"/>
            <w:shd w:val="clear" w:fill="FFFFFF"/>
          </w:tcPr>
          <w:p>
            <w:pPr>
              <w:spacing w:after="30" w:before="30" w:line="240" w:lineRule="auto"/>
            </w:pPr>
            <w:r>
              <w:rPr>
                <w:color w:val="1A1A1A"/>
                <w:sz w:val="17"/>
              </w:rPr>
              <w:t>§5</w:t>
            </w:r>
          </w:p>
        </w:tc>
        <w:tc>
          <w:tcPr>
            <w:tcW w:type="dxa" w:w="3175"/>
            <w:shd w:val="clear" w:fill="FFFFFF"/>
          </w:tcPr>
          <w:p>
            <w:pPr>
              <w:spacing w:after="30" w:before="30" w:line="240" w:lineRule="auto"/>
            </w:pPr>
            <w:r>
              <w:rPr>
                <w:color w:val="1A1A1A"/>
                <w:sz w:val="17"/>
              </w:rPr>
              <w:t>lib/engine</w:t>
            </w:r>
          </w:p>
        </w:tc>
        <w:tc>
          <w:tcPr>
            <w:tcW w:type="dxa" w:w="3458"/>
            <w:shd w:val="clear" w:fill="FFFFFF"/>
          </w:tcPr>
          <w:p>
            <w:pPr>
              <w:spacing w:after="30" w:before="30" w:line="240" w:lineRule="auto"/>
            </w:pPr>
            <w:r>
              <w:rPr>
                <w:color w:val="1A1A1A"/>
                <w:sz w:val="17"/>
              </w:rPr>
              <w:t>217 unit and integration tests</w:t>
            </w:r>
          </w:p>
        </w:tc>
      </w:tr>
      <w:tr>
        <w:tc>
          <w:tcPr>
            <w:tcW w:type="dxa" w:w="2041"/>
            <w:shd w:val="clear" w:fill="FFFFFF"/>
          </w:tcPr>
          <w:p>
            <w:pPr>
              <w:spacing w:after="30" w:before="30" w:line="240" w:lineRule="auto"/>
            </w:pPr>
            <w:r>
              <w:rPr>
                <w:b/>
                <w:color w:val="1A1A1A"/>
                <w:sz w:val="17"/>
              </w:rPr>
              <w:t>FR-5 · Specification</w:t>
            </w:r>
          </w:p>
        </w:tc>
        <w:tc>
          <w:tcPr>
            <w:tcW w:type="dxa" w:w="964"/>
            <w:shd w:val="clear" w:fill="FFFFFF"/>
          </w:tcPr>
          <w:p>
            <w:pPr>
              <w:spacing w:after="30" w:before="30" w:line="240" w:lineRule="auto"/>
            </w:pPr>
            <w:r>
              <w:rPr>
                <w:color w:val="1A1A1A"/>
                <w:sz w:val="17"/>
              </w:rPr>
              <w:t>§7</w:t>
            </w:r>
          </w:p>
        </w:tc>
        <w:tc>
          <w:tcPr>
            <w:tcW w:type="dxa" w:w="3175"/>
            <w:shd w:val="clear" w:fill="FFFFFF"/>
          </w:tcPr>
          <w:p>
            <w:pPr>
              <w:spacing w:after="30" w:before="30" w:line="240" w:lineRule="auto"/>
            </w:pPr>
            <w:r>
              <w:rPr>
                <w:color w:val="1A1A1A"/>
                <w:sz w:val="17"/>
              </w:rPr>
              <w:t>lib/spec + validator</w:t>
            </w:r>
          </w:p>
        </w:tc>
        <w:tc>
          <w:tcPr>
            <w:tcW w:type="dxa" w:w="3458"/>
            <w:shd w:val="clear" w:fill="FFFFFF"/>
          </w:tcPr>
          <w:p>
            <w:pPr>
              <w:spacing w:after="30" w:before="30" w:line="240" w:lineRule="auto"/>
            </w:pPr>
            <w:r>
              <w:rPr>
                <w:color w:val="1A1A1A"/>
                <w:sz w:val="17"/>
              </w:rPr>
              <w:t>Invalid spec blocks completion (tested)</w:t>
            </w:r>
          </w:p>
        </w:tc>
      </w:tr>
      <w:tr>
        <w:tc>
          <w:tcPr>
            <w:tcW w:type="dxa" w:w="2041"/>
            <w:shd w:val="clear" w:fill="FFFFFF"/>
          </w:tcPr>
          <w:p>
            <w:pPr>
              <w:spacing w:after="30" w:before="30" w:line="240" w:lineRule="auto"/>
            </w:pPr>
            <w:r>
              <w:rPr>
                <w:b/>
                <w:color w:val="1A1A1A"/>
                <w:sz w:val="17"/>
              </w:rPr>
              <w:t>R1 · Completeness</w:t>
            </w:r>
          </w:p>
        </w:tc>
        <w:tc>
          <w:tcPr>
            <w:tcW w:type="dxa" w:w="964"/>
            <w:shd w:val="clear" w:fill="FFFFFF"/>
          </w:tcPr>
          <w:p>
            <w:pPr>
              <w:spacing w:after="30" w:before="30" w:line="240" w:lineRule="auto"/>
            </w:pPr>
            <w:r>
              <w:rPr>
                <w:color w:val="1A1A1A"/>
                <w:sz w:val="17"/>
              </w:rPr>
              <w:t>§6</w:t>
            </w:r>
          </w:p>
        </w:tc>
        <w:tc>
          <w:tcPr>
            <w:tcW w:type="dxa" w:w="3175"/>
            <w:shd w:val="clear" w:fill="FFFFFF"/>
          </w:tcPr>
          <w:p>
            <w:pPr>
              <w:spacing w:after="30" w:before="30" w:line="240" w:lineRule="auto"/>
            </w:pPr>
            <w:r>
              <w:rPr>
                <w:color w:val="1A1A1A"/>
                <w:sz w:val="17"/>
              </w:rPr>
              <w:t>Derived coverage from 40 elements</w:t>
            </w:r>
          </w:p>
        </w:tc>
        <w:tc>
          <w:tcPr>
            <w:tcW w:type="dxa" w:w="3458"/>
            <w:shd w:val="clear" w:fill="FFFFFF"/>
          </w:tcPr>
          <w:p>
            <w:pPr>
              <w:spacing w:after="30" w:before="30" w:line="240" w:lineRule="auto"/>
            </w:pPr>
            <w:r>
              <w:rPr>
                <w:color w:val="1A1A1A"/>
                <w:sz w:val="17"/>
              </w:rPr>
              <w:t>Eval assertions; coverage-rail E2E</w:t>
            </w:r>
          </w:p>
        </w:tc>
      </w:tr>
      <w:tr>
        <w:tc>
          <w:tcPr>
            <w:tcW w:type="dxa" w:w="2041"/>
            <w:shd w:val="clear" w:fill="FFFFFF"/>
          </w:tcPr>
          <w:p>
            <w:pPr>
              <w:spacing w:after="30" w:before="30" w:line="240" w:lineRule="auto"/>
            </w:pPr>
            <w:r>
              <w:rPr>
                <w:b/>
                <w:color w:val="1A1A1A"/>
                <w:sz w:val="17"/>
              </w:rPr>
              <w:t>R5.4 · To-be gate</w:t>
            </w:r>
          </w:p>
        </w:tc>
        <w:tc>
          <w:tcPr>
            <w:tcW w:type="dxa" w:w="964"/>
            <w:shd w:val="clear" w:fill="FFFFFF"/>
          </w:tcPr>
          <w:p>
            <w:pPr>
              <w:spacing w:after="30" w:before="30" w:line="240" w:lineRule="auto"/>
            </w:pPr>
            <w:r>
              <w:rPr>
                <w:color w:val="1A1A1A"/>
                <w:sz w:val="17"/>
              </w:rPr>
              <w:t>§8.3</w:t>
            </w:r>
          </w:p>
        </w:tc>
        <w:tc>
          <w:tcPr>
            <w:tcW w:type="dxa" w:w="3175"/>
            <w:shd w:val="clear" w:fill="FFFFFF"/>
          </w:tcPr>
          <w:p>
            <w:pPr>
              <w:spacing w:after="30" w:before="30" w:line="240" w:lineRule="auto"/>
            </w:pPr>
            <w:r>
              <w:rPr>
                <w:color w:val="1A1A1A"/>
                <w:sz w:val="17"/>
              </w:rPr>
              <w:t>lib/graph/verification.ts</w:t>
            </w:r>
          </w:p>
        </w:tc>
        <w:tc>
          <w:tcPr>
            <w:tcW w:type="dxa" w:w="3458"/>
            <w:shd w:val="clear" w:fill="FFFFFF"/>
          </w:tcPr>
          <w:p>
            <w:pPr>
              <w:spacing w:after="30" w:before="30" w:line="240" w:lineRule="auto"/>
            </w:pPr>
            <w:r>
              <w:rPr>
                <w:color w:val="1A1A1A"/>
                <w:sz w:val="17"/>
              </w:rPr>
              <w:t>Gate unit tests</w:t>
            </w:r>
          </w:p>
        </w:tc>
      </w:tr>
      <w:tr>
        <w:tc>
          <w:tcPr>
            <w:tcW w:type="dxa" w:w="2041"/>
            <w:shd w:val="clear" w:fill="FFFFFF"/>
          </w:tcPr>
          <w:p>
            <w:pPr>
              <w:spacing w:after="30" w:before="30" w:line="240" w:lineRule="auto"/>
            </w:pPr>
            <w:r>
              <w:rPr>
                <w:b/>
                <w:color w:val="1A1A1A"/>
                <w:sz w:val="17"/>
              </w:rPr>
              <w:t>R5.5 · Opportunities</w:t>
            </w:r>
          </w:p>
        </w:tc>
        <w:tc>
          <w:tcPr>
            <w:tcW w:type="dxa" w:w="964"/>
            <w:shd w:val="clear" w:fill="FFFFFF"/>
          </w:tcPr>
          <w:p>
            <w:pPr>
              <w:spacing w:after="30" w:before="30" w:line="240" w:lineRule="auto"/>
            </w:pPr>
            <w:r>
              <w:rPr>
                <w:color w:val="1A1A1A"/>
                <w:sz w:val="17"/>
              </w:rPr>
              <w:t>§8.2</w:t>
            </w:r>
          </w:p>
        </w:tc>
        <w:tc>
          <w:tcPr>
            <w:tcW w:type="dxa" w:w="3175"/>
            <w:shd w:val="clear" w:fill="FFFFFF"/>
          </w:tcPr>
          <w:p>
            <w:pPr>
              <w:spacing w:after="30" w:before="30" w:line="240" w:lineRule="auto"/>
            </w:pPr>
            <w:r>
              <w:rPr>
                <w:color w:val="1A1A1A"/>
                <w:sz w:val="17"/>
              </w:rPr>
              <w:t>lib/graph/opportunity.ts</w:t>
            </w:r>
          </w:p>
        </w:tc>
        <w:tc>
          <w:tcPr>
            <w:tcW w:type="dxa" w:w="3458"/>
            <w:shd w:val="clear" w:fill="FFFFFF"/>
          </w:tcPr>
          <w:p>
            <w:pPr>
              <w:spacing w:after="30" w:before="30" w:line="240" w:lineRule="auto"/>
            </w:pPr>
            <w:r>
              <w:rPr>
                <w:color w:val="1A1A1A"/>
                <w:sz w:val="17"/>
              </w:rPr>
              <w:t>Classifier unit tests, including the uncited-label refusal</w:t>
            </w:r>
          </w:p>
        </w:tc>
      </w:tr>
      <w:tr>
        <w:tc>
          <w:tcPr>
            <w:tcW w:type="dxa" w:w="2041"/>
            <w:shd w:val="clear" w:fill="FFFFFF"/>
          </w:tcPr>
          <w:p>
            <w:pPr>
              <w:spacing w:after="30" w:before="30" w:line="240" w:lineRule="auto"/>
            </w:pPr>
            <w:r>
              <w:rPr>
                <w:b/>
                <w:color w:val="1A1A1A"/>
                <w:sz w:val="17"/>
              </w:rPr>
              <w:t>R9 · Bounded interview</w:t>
            </w:r>
          </w:p>
        </w:tc>
        <w:tc>
          <w:tcPr>
            <w:tcW w:type="dxa" w:w="964"/>
            <w:shd w:val="clear" w:fill="FFFFFF"/>
          </w:tcPr>
          <w:p>
            <w:pPr>
              <w:spacing w:after="30" w:before="30" w:line="240" w:lineRule="auto"/>
            </w:pPr>
            <w:r>
              <w:rPr>
                <w:color w:val="1A1A1A"/>
                <w:sz w:val="17"/>
              </w:rPr>
              <w:t>§5.6</w:t>
            </w:r>
          </w:p>
        </w:tc>
        <w:tc>
          <w:tcPr>
            <w:tcW w:type="dxa" w:w="3175"/>
            <w:shd w:val="clear" w:fill="FFFFFF"/>
          </w:tcPr>
          <w:p>
            <w:pPr>
              <w:spacing w:after="30" w:before="30" w:line="240" w:lineRule="auto"/>
            </w:pPr>
            <w:r>
              <w:rPr>
                <w:color w:val="1A1A1A"/>
                <w:sz w:val="17"/>
              </w:rPr>
              <w:t>Question budget; early finish</w:t>
            </w:r>
          </w:p>
        </w:tc>
        <w:tc>
          <w:tcPr>
            <w:tcW w:type="dxa" w:w="3458"/>
            <w:shd w:val="clear" w:fill="FFFFFF"/>
          </w:tcPr>
          <w:p>
            <w:pPr>
              <w:spacing w:after="30" w:before="30" w:line="240" w:lineRule="auto"/>
            </w:pPr>
            <w:r>
              <w:rPr>
                <w:color w:val="1A1A1A"/>
                <w:sz w:val="17"/>
              </w:rPr>
              <w:t>Budget E2E test</w:t>
            </w:r>
          </w:p>
        </w:tc>
      </w:tr>
    </w:tbl>
    <w:p>
      <w:pPr>
        <w:spacing w:after="80" w:before="0"/>
      </w:pPr>
    </w:p>
    <w:p>
      <w:pPr>
        <w:spacing w:after="160" w:before="0"/>
      </w:pPr>
    </w:p>
    <w:p>
      <w:pPr>
        <w:spacing w:after="0" w:before="0"/>
      </w:pPr>
      <w:r>
        <w:rPr>
          <w:b w:val="0"/>
          <w:i/>
          <w:color w:val="5A5A5A"/>
          <w:sz w:val="18"/>
        </w:rPr>
        <w:t>End of document. Magpie is running and has been demonstrated end to end. The two open decisions — hosting platform and model vendor — do not block the pilot, but both should be settled before the deployment is hardened, and issue I-2 must be closed before any real informant is interviewed.</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