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sz w:val="36"/>
        </w:rPr>
      </w:r>
    </w:p>
    <w:p>
      <w:pPr>
        <w:spacing w:after="40"/>
      </w:pPr>
      <w:r>
        <w:rPr>
          <w:rFonts w:ascii="Calibri" w:hAnsi="Calibri"/>
          <w:b/>
          <w:i w:val="0"/>
          <w:color w:val="0E9384"/>
          <w:sz w:val="19"/>
        </w:rPr>
        <w:t>INTEGRATED LAUNCH PLAN · WELLNESS HERO</w:t>
      </w:r>
    </w:p>
    <w:p>
      <w:pPr>
        <w:spacing w:after="160"/>
      </w:pPr>
      <w:r>
        <w:rPr>
          <w:rFonts w:ascii="Calibri" w:hAnsi="Calibri"/>
          <w:b/>
          <w:i w:val="0"/>
          <w:color w:val="13182B"/>
          <w:sz w:val="60"/>
        </w:rPr>
        <w:t>ProteinPeak Q2 Launch — Comms &amp; Creator Plan</w:t>
      </w:r>
    </w:p>
    <w:p>
      <w:pPr>
        <w:spacing w:after="240"/>
      </w:pPr>
      <w:r>
        <w:rPr>
          <w:rFonts w:ascii="Calibri" w:hAnsi="Calibri"/>
          <w:b w:val="0"/>
          <w:i w:val="0"/>
          <w:color w:val="5B6478"/>
          <w:sz w:val="27"/>
        </w:rPr>
        <w:t>The $6.4M integrated communications plan behind Cinnamon Crunch (PP005) and Cocoa Almond (PP006).</w:t>
      </w:r>
    </w:p>
    <w:p>
      <w:pPr>
        <w:pBdr>
          <w:bottom w:val="single" w:sz="6" w:space="1" w:color="E3E6EE"/>
        </w:pBdr>
      </w:pPr>
    </w:p>
    <w:p>
      <w:pPr>
        <w:spacing w:after="40"/>
      </w:pPr>
      <w:r>
        <w:rPr>
          <w:rFonts w:ascii="Calibri" w:hAnsi="Calibri"/>
          <w:b w:val="0"/>
          <w:i w:val="0"/>
          <w:color w:val="5B6478"/>
          <w:sz w:val="20"/>
        </w:rPr>
        <w:t>Renee Alvarez, Director — Brand &amp; Creator Marketing</w:t>
      </w:r>
    </w:p>
    <w:p>
      <w:pPr>
        <w:spacing w:after="40"/>
      </w:pPr>
      <w:r>
        <w:rPr>
          <w:rFonts w:ascii="Calibri" w:hAnsi="Calibri"/>
          <w:b w:val="0"/>
          <w:i w:val="0"/>
          <w:color w:val="5B6478"/>
          <w:sz w:val="20"/>
        </w:rPr>
        <w:t>Creator anchor: Sage Park · Performance: Hugo Lin / Tasha Brooks (Pacvue)</w:t>
      </w:r>
    </w:p>
    <w:p>
      <w:pPr>
        <w:spacing w:after="40"/>
      </w:pPr>
      <w:r>
        <w:rPr>
          <w:rFonts w:ascii="Calibri" w:hAnsi="Calibri"/>
          <w:b w:val="0"/>
          <w:i w:val="0"/>
          <w:color w:val="5B6478"/>
          <w:sz w:val="20"/>
        </w:rPr>
        <w:t>On-shelf April 20, 2026 · plan v2 · Internal · Confidential</w:t>
      </w:r>
    </w:p>
    <w:p>
      <w:pPr>
        <w:spacing w:after="0" w:before="0"/>
      </w:pPr>
      <w:r>
        <w:rPr>
          <w:sz w:val="20"/>
        </w:rPr>
      </w:r>
    </w:p>
    <w:p>
      <w:pPr>
        <w:spacing w:after="40"/>
      </w:pPr>
      <w:r>
        <w:rPr>
          <w:rFonts w:ascii="Calibri" w:hAnsi="Calibri"/>
          <w:b/>
          <w:i w:val="0"/>
          <w:color w:val="0E9384"/>
          <w:sz w:val="19"/>
        </w:rPr>
        <w:t>THE PLAN AT A GLANCE</w:t>
      </w:r>
    </w:p>
    <w:p>
      <w:pPr>
        <w:spacing w:before="200" w:after="120"/>
      </w:pPr>
      <w:r>
        <w:rPr>
          <w:rFonts w:ascii="Calibri" w:hAnsi="Calibri"/>
          <w:b/>
          <w:i w:val="0"/>
          <w:color w:val="13182B"/>
          <w:sz w:val="36"/>
        </w:rPr>
        <w:t>Executive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6F7FB"/>
            <w:tcMar>
              <w:top w:w="120" w:type="dxa"/>
              <w:bottom w:w="120" w:type="dxa"/>
              <w:start w:w="14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0E9384"/>
                <w:sz w:val="34"/>
              </w:rPr>
              <w:t>$6.4M</w:t>
            </w:r>
          </w:p>
          <w:p>
            <w:r>
              <w:rPr>
                <w:rFonts w:ascii="Calibri" w:hAnsi="Calibri"/>
                <w:b w:val="0"/>
                <w:i w:val="0"/>
                <w:color w:val="13182B"/>
                <w:sz w:val="17"/>
              </w:rPr>
              <w:t>Total launch envelope</w:t>
            </w:r>
          </w:p>
        </w:tc>
        <w:tc>
          <w:tcPr>
            <w:tcW w:type="dxa" w:w="2376"/>
            <w:shd w:val="clear" w:color="auto" w:fill="F6F7FB"/>
            <w:tcMar>
              <w:top w:w="120" w:type="dxa"/>
              <w:bottom w:w="120" w:type="dxa"/>
              <w:start w:w="14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0E9384"/>
                <w:sz w:val="34"/>
              </w:rPr>
              <w:t>280K</w:t>
            </w:r>
          </w:p>
          <w:p>
            <w:r>
              <w:rPr>
                <w:rFonts w:ascii="Calibri" w:hAnsi="Calibri"/>
                <w:b w:val="0"/>
                <w:i w:val="0"/>
                <w:color w:val="13182B"/>
                <w:sz w:val="17"/>
              </w:rPr>
              <w:t>Numerator HH sampling cohort</w:t>
            </w:r>
          </w:p>
        </w:tc>
        <w:tc>
          <w:tcPr>
            <w:tcW w:type="dxa" w:w="2376"/>
            <w:shd w:val="clear" w:color="auto" w:fill="F6F7FB"/>
            <w:tcMar>
              <w:top w:w="120" w:type="dxa"/>
              <w:bottom w:w="120" w:type="dxa"/>
              <w:start w:w="14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0E9384"/>
                <w:sz w:val="34"/>
              </w:rPr>
              <w:t>58 / 42</w:t>
            </w:r>
          </w:p>
          <w:p>
            <w:r>
              <w:rPr>
                <w:rFonts w:ascii="Calibri" w:hAnsi="Calibri"/>
                <w:b w:val="0"/>
                <w:i w:val="0"/>
                <w:color w:val="13182B"/>
                <w:sz w:val="17"/>
              </w:rPr>
              <w:t>Retail-media flight split</w:t>
            </w:r>
          </w:p>
        </w:tc>
        <w:tc>
          <w:tcPr>
            <w:tcW w:type="dxa" w:w="2376"/>
            <w:shd w:val="clear" w:color="auto" w:fill="F6F7FB"/>
            <w:tcMar>
              <w:top w:w="120" w:type="dxa"/>
              <w:bottom w:w="120" w:type="dxa"/>
              <w:start w:w="14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0E9384"/>
                <w:sz w:val="34"/>
              </w:rPr>
              <w:t>3</w:t>
            </w:r>
          </w:p>
          <w:p>
            <w:r>
              <w:rPr>
                <w:rFonts w:ascii="Calibri" w:hAnsi="Calibri"/>
                <w:b w:val="0"/>
                <w:i w:val="0"/>
                <w:color w:val="13182B"/>
                <w:sz w:val="17"/>
              </w:rPr>
              <w:t>Claims taken to test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r>
        <w:rPr>
          <w:rFonts w:ascii="Calibri" w:hAnsi="Calibri"/>
          <w:b w:val="0"/>
          <w:i w:val="0"/>
          <w:color w:val="13182B"/>
          <w:sz w:val="21"/>
        </w:rPr>
        <w:t xml:space="preserve">ProteinPeak's two new flavors carry most of the brand's FY26 mandate to grow from $48M to $80M. This plan puts </w:t>
      </w:r>
      <w:r>
        <w:rPr>
          <w:rFonts w:ascii="Calibri" w:hAnsi="Calibri"/>
          <w:b/>
          <w:i w:val="0"/>
          <w:color w:val="13182B"/>
          <w:sz w:val="21"/>
        </w:rPr>
        <w:t>$6.4M</w:t>
      </w:r>
      <w:r>
        <w:rPr>
          <w:rFonts w:ascii="Calibri" w:hAnsi="Calibri"/>
          <w:b w:val="0"/>
          <w:i w:val="0"/>
          <w:color w:val="13182B"/>
          <w:sz w:val="21"/>
        </w:rPr>
        <w:t xml:space="preserve"> behind that launch across five levers — creator, paid social, retail media, sampling and PR — anchored on a tested claim set and a protein-curious targeting strategy. The motion that proved out in the Week-4 read is clear: lead with the Target endcap and the creator drop, let retail media compound on Walmart Connect and Amazon, and sample directly into protein-segment households that have never bought Crunchwell.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504"/>
      </w:tblGrid>
      <w:tr>
        <w:tc>
          <w:tcPr>
            <w:tcW w:type="dxa" w:w="9504"/>
            <w:shd w:val="clear" w:color="auto" w:fill="E6F6F3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0E9384"/>
                <w:sz w:val="21"/>
              </w:rPr>
              <w:t>Why now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3182B"/>
                <w:sz w:val="20"/>
              </w:rPr>
              <w:t>Larksfield filed a Field &amp; Honey 14g-protein line extension (LCH00032, on shelf May 12, 2026) that narrows ProteinPeak's protein delta from 11g to 6g. The launch window to establish ProteinPeak as the protein-cereal default is closing — this plan is built to move fast.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40"/>
      </w:pPr>
      <w:r>
        <w:rPr>
          <w:rFonts w:ascii="Calibri" w:hAnsi="Calibri"/>
          <w:b/>
          <w:i w:val="0"/>
          <w:color w:val="0E9384"/>
          <w:sz w:val="19"/>
        </w:rPr>
        <w:t>MESSAGE STRATEGY</w:t>
      </w:r>
    </w:p>
    <w:p>
      <w:pPr>
        <w:spacing w:before="200" w:after="120"/>
      </w:pPr>
      <w:r>
        <w:rPr>
          <w:rFonts w:ascii="Calibri" w:hAnsi="Calibri"/>
          <w:b/>
          <w:i w:val="0"/>
          <w:color w:val="13182B"/>
          <w:sz w:val="36"/>
        </w:rPr>
        <w:t>Three claims, one winner</w:t>
      </w:r>
    </w:p>
    <w:p>
      <w:r>
        <w:rPr>
          <w:rFonts w:ascii="Calibri" w:hAnsi="Calibri"/>
          <w:b w:val="0"/>
          <w:i w:val="0"/>
          <w:color w:val="13182B"/>
          <w:sz w:val="21"/>
        </w:rPr>
        <w:t>Three claims went into concept test. The plan leads with the protein-and-sugar claim for performance media (it converts), and uses the lifestyle line as the creator and brand-film rallying cry.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6EE"/>
          <w:left w:val="single" w:sz="4" w:space="0" w:color="E3E6EE"/>
          <w:bottom w:val="single" w:sz="4" w:space="0" w:color="E3E6EE"/>
          <w:right w:val="single" w:sz="4" w:space="0" w:color="E3E6EE"/>
          <w:insideH w:val="single" w:sz="4" w:space="0" w:color="E3E6EE"/>
          <w:insideV w:val="single" w:sz="4" w:space="0" w:color="E3E6EE"/>
        </w:tblBorders>
      </w:tblPr>
      <w:tblGrid>
        <w:gridCol w:w="3168"/>
        <w:gridCol w:w="3168"/>
        <w:gridCol w:w="3168"/>
      </w:tblGrid>
      <w:tr>
        <w:tc>
          <w:tcPr>
            <w:tcW w:type="dxa" w:w="417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Claim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Channel lead</w:t>
            </w:r>
          </w:p>
        </w:tc>
      </w:tr>
      <w:tr>
        <w:tc>
          <w:tcPr>
            <w:tcW w:type="dxa" w:w="417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“20g protein, less sugar”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Primary — performance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Retail media, paid social</w:t>
            </w:r>
          </w:p>
        </w:tc>
      </w:tr>
      <w:tr>
        <w:tc>
          <w:tcPr>
            <w:tcW w:type="dxa" w:w="417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“Clean fuel, real grains, no fillers”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Support — credibility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PR, packaging, PDP</w:t>
            </w:r>
          </w:p>
        </w:tc>
      </w:tr>
      <w:tr>
        <w:tc>
          <w:tcPr>
            <w:tcW w:type="dxa" w:w="417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“Eat like you mean it”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Brand line — emotion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Creator drop, brand film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40"/>
      </w:pPr>
      <w:r>
        <w:rPr>
          <w:rFonts w:ascii="Calibri" w:hAnsi="Calibri"/>
          <w:b/>
          <w:i w:val="0"/>
          <w:color w:val="0E9384"/>
          <w:sz w:val="19"/>
        </w:rPr>
        <w:t>CREATOR STRATEGY</w:t>
      </w:r>
    </w:p>
    <w:p>
      <w:pPr>
        <w:spacing w:before="200" w:after="120"/>
      </w:pPr>
      <w:r>
        <w:rPr>
          <w:rFonts w:ascii="Calibri" w:hAnsi="Calibri"/>
          <w:b/>
          <w:i w:val="0"/>
          <w:color w:val="13182B"/>
          <w:sz w:val="36"/>
        </w:rPr>
        <w:t>Creator-led, athlete-anchored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3182B"/>
          <w:sz w:val="21"/>
        </w:rPr>
        <w:t xml:space="preserve">Anchor: </w:t>
      </w:r>
      <w:r>
        <w:rPr>
          <w:rFonts w:ascii="Calibri" w:hAnsi="Calibri"/>
          <w:b w:val="0"/>
          <w:i w:val="0"/>
          <w:color w:val="13182B"/>
          <w:sz w:val="21"/>
        </w:rPr>
        <w:t>Sage Park (@sage_park_athlete, creator ID CR-0012) anchors the #ProteinDrop launch on April 20.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3182B"/>
          <w:sz w:val="21"/>
        </w:rPr>
        <w:t xml:space="preserve">Cohort: </w:t>
      </w:r>
      <w:r>
        <w:rPr>
          <w:rFonts w:ascii="Calibri" w:hAnsi="Calibri"/>
          <w:b w:val="0"/>
          <w:i w:val="0"/>
          <w:color w:val="13182B"/>
          <w:sz w:val="21"/>
        </w:rPr>
        <w:t>Second-wave cohort — CR-0007 @gymrat.miles, plus CR-0021 / CR-0040 / CR-0042 / CR-0013 / CR-0027 — activates across the four-week endcap window with boosted attribution.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3182B"/>
          <w:sz w:val="21"/>
        </w:rPr>
        <w:t xml:space="preserve">Signal: </w:t>
      </w:r>
      <w:r>
        <w:rPr>
          <w:rFonts w:ascii="Calibri" w:hAnsi="Calibri"/>
          <w:b w:val="0"/>
          <w:i w:val="0"/>
          <w:color w:val="13182B"/>
          <w:sz w:val="21"/>
        </w:rPr>
        <w:t>Creator-driven sentiment is tracking +0.47 (Brandwatch) in the launch window — the proof point that the drop is landing organically before paid amplification.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3182B"/>
          <w:sz w:val="21"/>
        </w:rPr>
        <w:t xml:space="preserve">Amplify: </w:t>
      </w:r>
      <w:r>
        <w:rPr>
          <w:rFonts w:ascii="Calibri" w:hAnsi="Calibri"/>
          <w:b w:val="0"/>
          <w:i w:val="0"/>
          <w:color w:val="13182B"/>
          <w:sz w:val="21"/>
        </w:rPr>
        <w:t>All creator content is whitelisted into paid social and Roundel so the best organic units become the highest-ROAS paid units.</w:t>
      </w:r>
    </w:p>
    <w:p>
      <w:pPr>
        <w:spacing w:after="40"/>
      </w:pPr>
      <w:r>
        <w:rPr>
          <w:rFonts w:ascii="Calibri" w:hAnsi="Calibri"/>
          <w:b/>
          <w:i w:val="0"/>
          <w:color w:val="0E9384"/>
          <w:sz w:val="19"/>
        </w:rPr>
        <w:t>SAMPLING STRATEGY</w:t>
      </w:r>
    </w:p>
    <w:p>
      <w:pPr>
        <w:spacing w:before="200" w:after="120"/>
      </w:pPr>
      <w:r>
        <w:rPr>
          <w:rFonts w:ascii="Calibri" w:hAnsi="Calibri"/>
          <w:b/>
          <w:i w:val="0"/>
          <w:color w:val="13182B"/>
          <w:sz w:val="36"/>
        </w:rPr>
        <w:t>Sample into demand, not into the base</w:t>
      </w:r>
    </w:p>
    <w:p>
      <w:r>
        <w:rPr>
          <w:rFonts w:ascii="Calibri" w:hAnsi="Calibri"/>
          <w:b w:val="0"/>
          <w:i w:val="0"/>
          <w:color w:val="13182B"/>
          <w:sz w:val="21"/>
        </w:rPr>
        <w:t xml:space="preserve">The sampling program targets </w:t>
      </w:r>
      <w:r>
        <w:rPr>
          <w:rFonts w:ascii="Calibri" w:hAnsi="Calibri"/>
          <w:b/>
          <w:i w:val="0"/>
          <w:color w:val="13182B"/>
          <w:sz w:val="21"/>
        </w:rPr>
        <w:t>280,000 Numerator households</w:t>
      </w:r>
      <w:r>
        <w:rPr>
          <w:rFonts w:ascii="Calibri" w:hAnsi="Calibri"/>
          <w:b w:val="0"/>
          <w:i w:val="0"/>
          <w:color w:val="13182B"/>
          <w:sz w:val="21"/>
        </w:rPr>
        <w:t xml:space="preserve"> defined as protein-segment buyers who have never purchased Crunchwell — recruiting net-new and category-adjacent households rather than subsidizing existing buyers. This mirrors the launch's source-of-volume goal: ~53% net-new to ProteinPeak.</w:t>
      </w:r>
    </w:p>
    <w:p>
      <w:pPr>
        <w:spacing w:after="40"/>
      </w:pPr>
      <w:r>
        <w:rPr>
          <w:rFonts w:ascii="Calibri" w:hAnsi="Calibri"/>
          <w:b/>
          <w:i w:val="0"/>
          <w:color w:val="0E9384"/>
          <w:sz w:val="19"/>
        </w:rPr>
        <w:t>RETAIL-MEDIA FLIGHT</w:t>
      </w:r>
    </w:p>
    <w:p>
      <w:pPr>
        <w:spacing w:before="200" w:after="120"/>
      </w:pPr>
      <w:r>
        <w:rPr>
          <w:rFonts w:ascii="Calibri" w:hAnsi="Calibri"/>
          <w:b/>
          <w:i w:val="0"/>
          <w:color w:val="13182B"/>
          <w:sz w:val="36"/>
        </w:rPr>
        <w:t>Where the working dollars go</w:t>
      </w:r>
    </w:p>
    <w:p>
      <w:r>
        <w:rPr>
          <w:rFonts w:ascii="Calibri" w:hAnsi="Calibri"/>
          <w:b w:val="0"/>
          <w:i w:val="0"/>
          <w:color w:val="13182B"/>
          <w:sz w:val="21"/>
        </w:rPr>
        <w:t>The retail-media flight weights toward the platforms with proven incremental return and the accounts that drive trial, per Tasha Brooks' Q1 effectiveness read.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6EE"/>
          <w:left w:val="single" w:sz="4" w:space="0" w:color="E3E6EE"/>
          <w:bottom w:val="single" w:sz="4" w:space="0" w:color="E3E6EE"/>
          <w:right w:val="single" w:sz="4" w:space="0" w:color="E3E6EE"/>
          <w:insideH w:val="single" w:sz="4" w:space="0" w:color="E3E6EE"/>
          <w:insideV w:val="single" w:sz="4" w:space="0" w:color="E3E6EE"/>
        </w:tblBorders>
      </w:tblPr>
      <w:tblGrid>
        <w:gridCol w:w="3168"/>
        <w:gridCol w:w="3168"/>
        <w:gridCol w:w="3168"/>
      </w:tblGrid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Allocation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Platforms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Share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Performance core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Walmart Connect + Amazon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58%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Captaincy + hero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Kroger Precision + Target Roundel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42%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r>
        <w:rPr>
          <w:rFonts w:ascii="Calibri" w:hAnsi="Calibri"/>
          <w:b w:val="0"/>
          <w:i/>
          <w:color w:val="5B6478"/>
          <w:sz w:val="18"/>
        </w:rPr>
        <w:t>Pacvue-orchestrated; ROAS re-read at Week 4, Week 8 and Week 13. Note: governed on modeled incrementality, not platform-reported ROAS (Amazon over-reports on the subscribe-and-save base).</w:t>
      </w:r>
    </w:p>
    <w:p>
      <w:pPr>
        <w:spacing w:after="40"/>
      </w:pPr>
      <w:r>
        <w:rPr>
          <w:rFonts w:ascii="Calibri" w:hAnsi="Calibri"/>
          <w:b/>
          <w:i w:val="0"/>
          <w:color w:val="0E9384"/>
          <w:sz w:val="19"/>
        </w:rPr>
        <w:t>BUDGET</w:t>
      </w:r>
    </w:p>
    <w:p>
      <w:pPr>
        <w:spacing w:before="200" w:after="120"/>
      </w:pPr>
      <w:r>
        <w:rPr>
          <w:rFonts w:ascii="Calibri" w:hAnsi="Calibri"/>
          <w:b/>
          <w:i w:val="0"/>
          <w:color w:val="13182B"/>
          <w:sz w:val="36"/>
        </w:rPr>
        <w:t>$6.4M envelope by lever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6EE"/>
          <w:left w:val="single" w:sz="4" w:space="0" w:color="E3E6EE"/>
          <w:bottom w:val="single" w:sz="4" w:space="0" w:color="E3E6EE"/>
          <w:right w:val="single" w:sz="4" w:space="0" w:color="E3E6EE"/>
          <w:insideH w:val="single" w:sz="4" w:space="0" w:color="E3E6EE"/>
          <w:insideV w:val="single" w:sz="4" w:space="0" w:color="E3E6EE"/>
        </w:tblBorders>
      </w:tblPr>
      <w:tblGrid>
        <w:gridCol w:w="3168"/>
        <w:gridCol w:w="3168"/>
        <w:gridCol w:w="3168"/>
      </w:tblGrid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Lever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Budget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KPI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Retail media (Pacvue)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$2.0M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Incremental ROAS, trial index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Creator + influencer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$1.4M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Attributed reach, sentiment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Paid social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$1.3M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CPA, video completion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Sampling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$1.0M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Trial → repeat conversion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PR + launch events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$0.7M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Earned impressions, share of voice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Total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$6.4M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—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r>
        <w:rPr>
          <w:rFonts w:ascii="Calibri" w:hAnsi="Calibri"/>
          <w:b w:val="0"/>
          <w:i/>
          <w:color w:val="5B6478"/>
          <w:sz w:val="18"/>
        </w:rPr>
        <w:t>Lever-level allocation is a planning estimate; the $6.4M total is the committed envelope. Retail-media split (58/42) and the $4.2M Q2 Pacvue pace are anchored to marketing_spend and proteinpeak_q2_launch (PP-E014).</w:t>
      </w:r>
    </w:p>
    <w:p>
      <w:pPr>
        <w:spacing w:after="40"/>
      </w:pPr>
      <w:r>
        <w:rPr>
          <w:rFonts w:ascii="Calibri" w:hAnsi="Calibri"/>
          <w:b/>
          <w:i w:val="0"/>
          <w:color w:val="0E9384"/>
          <w:sz w:val="19"/>
        </w:rPr>
        <w:t>MEASUREMENT</w:t>
      </w:r>
    </w:p>
    <w:p>
      <w:pPr>
        <w:spacing w:before="200" w:after="120"/>
      </w:pPr>
      <w:r>
        <w:rPr>
          <w:rFonts w:ascii="Calibri" w:hAnsi="Calibri"/>
          <w:b/>
          <w:i w:val="0"/>
          <w:color w:val="13182B"/>
          <w:sz w:val="36"/>
        </w:rPr>
        <w:t>How we will know it worked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3182B"/>
          <w:sz w:val="21"/>
        </w:rPr>
        <w:t>Trial index vs plan by retailer at Week 4 (target: Target ≥110, blended ≥100).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3182B"/>
          <w:sz w:val="21"/>
        </w:rPr>
        <w:t>Week-2 repeat rate vs the Berry Crunch archive (target: ≥1.1×).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3182B"/>
          <w:sz w:val="21"/>
        </w:rPr>
        <w:t>Source-of-volume: net-new share ≥50%; PP001 cannibalization held under 8% steady-state.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3182B"/>
          <w:sz w:val="21"/>
        </w:rPr>
        <w:t>Creator sentiment ≥ +0.40 and earned reach against the protein-curious cohort.</w:t>
      </w:r>
    </w:p>
    <w:p>
      <w:pPr>
        <w:spacing w:after="0" w:before="0"/>
      </w:pPr>
      <w:r>
        <w:rPr>
          <w:sz w:val="16"/>
        </w:rPr>
      </w:r>
    </w:p>
    <w:p>
      <w:r>
        <w:rPr>
          <w:rFonts w:ascii="Calibri" w:hAnsi="Calibri"/>
          <w:b w:val="0"/>
          <w:i/>
          <w:color w:val="5B6478"/>
          <w:sz w:val="18"/>
        </w:rPr>
        <w:t>Sources: proteinpeak_q2_launch seed, concept_test_launch_claims_2026q2, creators.csv, marketing_spend, competitor_launches (LCH00032), social_mentions / creator_posts. Acme synthetic dataset.</w:t>
      </w:r>
    </w:p>
    <w:sectPr w:rsidR="00FC693F" w:rsidRPr="0006063C" w:rsidSect="00034616">
      <w:footerReference w:type="default" r:id="rId9"/>
      <w:pgSz w:w="12240" w:h="15840"/>
      <w:pgMar w:top="1296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/>
        <w:b w:val="0"/>
        <w:i w:val="0"/>
        <w:color w:val="8A92A6"/>
        <w:sz w:val="16"/>
      </w:rPr>
      <w:t>Internal · Confidential — Acme Corp synthetic demo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318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