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sz w:val="36"/>
        </w:rPr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CUSTOMER PRE-READ · WALMART SOUTH</w:t>
      </w:r>
    </w:p>
    <w:p>
      <w:pPr>
        <w:spacing w:after="160"/>
      </w:pPr>
      <w:r>
        <w:rPr>
          <w:rFonts w:ascii="Calibri" w:hAnsi="Calibri"/>
          <w:b/>
          <w:i w:val="0"/>
          <w:color w:val="13182B"/>
          <w:sz w:val="60"/>
        </w:rPr>
        <w:t>Walmart August 2026 Line Review — Pre-Read</w:t>
      </w:r>
    </w:p>
    <w:p>
      <w:pPr>
        <w:spacing w:after="240"/>
      </w:pPr>
      <w:r>
        <w:rPr>
          <w:rFonts w:ascii="Calibri" w:hAnsi="Calibri"/>
          <w:b w:val="0"/>
          <w:i w:val="0"/>
          <w:color w:val="5B6478"/>
          <w:sz w:val="27"/>
        </w:rPr>
        <w:t>The case to recover two Crunchwell facings and fund a $340K Q3 trade runway in the South Division.</w:t>
      </w:r>
    </w:p>
    <w:p>
      <w:pPr>
        <w:pBdr>
          <w:bottom w:val="single" w:sz="6" w:space="1" w:color="E3E6EE"/>
        </w:pBdr>
      </w:pPr>
    </w:p>
    <w:p>
      <w:pPr>
        <w:spacing w:after="40"/>
      </w:pPr>
      <w:r>
        <w:rPr>
          <w:rFonts w:ascii="Calibri" w:hAnsi="Calibri"/>
          <w:b w:val="0"/>
          <w:i w:val="0"/>
          <w:color w:val="5B6478"/>
          <w:sz w:val="20"/>
        </w:rPr>
        <w:t>Marcus T. Boudreaux, Director of Sales — South Region</w:t>
      </w:r>
    </w:p>
    <w:p>
      <w:pPr>
        <w:spacing w:after="40"/>
      </w:pPr>
      <w:r>
        <w:rPr>
          <w:rFonts w:ascii="Calibri" w:hAnsi="Calibri"/>
          <w:b w:val="0"/>
          <w:i w:val="0"/>
          <w:color w:val="5B6478"/>
          <w:sz w:val="20"/>
        </w:rPr>
        <w:t>NAM Walmart: Tom Reilly · Category: Priya Raman · Sign-off: Diane Halverson</w:t>
      </w:r>
    </w:p>
    <w:p>
      <w:pPr>
        <w:spacing w:after="40"/>
      </w:pPr>
      <w:r>
        <w:rPr>
          <w:rFonts w:ascii="Calibri" w:hAnsi="Calibri"/>
          <w:b w:val="0"/>
          <w:i w:val="0"/>
          <w:color w:val="5B6478"/>
          <w:sz w:val="20"/>
        </w:rPr>
        <w:t>Line review August 10, 2026 · prep kickoff May 18 · Internal · Confidential</w:t>
      </w:r>
    </w:p>
    <w:p>
      <w:pPr>
        <w:spacing w:after="0" w:before="0"/>
      </w:pPr>
      <w:r>
        <w:rPr>
          <w:sz w:val="20"/>
        </w:rPr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THE ASK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C0392B"/>
                <w:sz w:val="34"/>
              </w:rPr>
              <w:t>+2 facings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Crunchwell Mega + Honey Nut Mega</w:t>
            </w:r>
          </w:p>
        </w:tc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C0392B"/>
                <w:sz w:val="34"/>
              </w:rPr>
              <w:t>$340K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Q3 trade injection to support runway</w:t>
            </w:r>
          </w:p>
        </w:tc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C0392B"/>
                <w:sz w:val="34"/>
              </w:rPr>
              <w:t>+1.2 pts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Expected South share recovery</w:t>
            </w:r>
          </w:p>
        </w:tc>
        <w:tc>
          <w:tcPr>
            <w:tcW w:type="dxa" w:w="2376"/>
            <w:shd w:val="clear" w:color="auto" w:fill="F6F7FB"/>
            <w:tcMar>
              <w:top w:w="120" w:type="dxa"/>
              <w:bottom w:w="120" w:type="dxa"/>
              <w:start w:w="14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C0392B"/>
                <w:sz w:val="34"/>
              </w:rPr>
              <w:t>$612K</w:t>
            </w:r>
          </w:p>
          <w:p>
            <w:r>
              <w:rPr>
                <w:rFonts w:ascii="Calibri" w:hAnsi="Calibri"/>
                <w:b w:val="0"/>
                <w:i w:val="0"/>
                <w:color w:val="13182B"/>
                <w:sz w:val="17"/>
              </w:rPr>
              <w:t>Expected incremental revenue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r>
        <w:rPr>
          <w:rFonts w:ascii="Calibri" w:hAnsi="Calibri"/>
          <w:b w:val="0"/>
          <w:i w:val="0"/>
          <w:color w:val="13182B"/>
          <w:sz w:val="21"/>
        </w:rPr>
        <w:t xml:space="preserve">Walmart's September 2025 modular reset cut Crunchwell from 8 facings to 6 — and to an effective 4 in much of Louisiana — at the same time Larksfield went on the offensive. We did not lose these shoppers; we lost the shelf. Velocity per facing on Crunchwell Mega actually </w:t>
      </w:r>
      <w:r>
        <w:rPr>
          <w:rFonts w:ascii="Calibri" w:hAnsi="Calibri"/>
          <w:b/>
          <w:i w:val="0"/>
          <w:color w:val="13182B"/>
          <w:sz w:val="21"/>
        </w:rPr>
        <w:t>rose 4%</w:t>
      </w:r>
      <w:r>
        <w:rPr>
          <w:rFonts w:ascii="Calibri" w:hAnsi="Calibri"/>
          <w:b w:val="0"/>
          <w:i w:val="0"/>
          <w:color w:val="13182B"/>
          <w:sz w:val="21"/>
        </w:rPr>
        <w:t xml:space="preserve"> post-reset, which means demand outran availability. This pre-read asks Walmart to restore two facings on Original Mega and Honey Nut Mega, backed by a $340K Q3 trade injection and the velocity-per-facing evidence below.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shd w:val="clear" w:color="auto" w:fill="FBEEEC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C0392B"/>
                <w:sz w:val="21"/>
              </w:rPr>
              <w:t>The one-line case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3182B"/>
                <w:sz w:val="20"/>
              </w:rPr>
              <w:t>Give Crunchwell back the two facings the demand data says it earned, and Acme will return 1.2 points of South Division share and $612K of incremental revenue — the same payback ratio the Louisiana tactical injection just delivered.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SITUATION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What the September reset did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Distribution: </w:t>
      </w:r>
      <w:r>
        <w:rPr>
          <w:rFonts w:ascii="Calibri" w:hAnsi="Calibri"/>
          <w:b w:val="0"/>
          <w:i w:val="0"/>
          <w:color w:val="13182B"/>
          <w:sz w:val="21"/>
        </w:rPr>
        <w:t>Facings cut 25% (8 → 6, effective 4 in LA) on the four affected SKUs: Original Mega, Honey Nut Mega, Multigrain and Cinnamon Twist.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Velocity: </w:t>
      </w:r>
      <w:r>
        <w:rPr>
          <w:rFonts w:ascii="Calibri" w:hAnsi="Calibri"/>
          <w:b w:val="0"/>
          <w:i w:val="0"/>
          <w:color w:val="13182B"/>
          <w:sz w:val="21"/>
        </w:rPr>
        <w:t>Velocity per facing on Crunchwell Mega rose +4% vs the Sept-2025 baseline — consumers wanted the product but could not reach it.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Contribution: </w:t>
      </w:r>
      <w:r>
        <w:rPr>
          <w:rFonts w:ascii="Calibri" w:hAnsi="Calibri"/>
          <w:b w:val="0"/>
          <w:i w:val="0"/>
          <w:color w:val="13182B"/>
          <w:sz w:val="21"/>
        </w:rPr>
        <w:t>Total Crunchwell category contribution at Walmart South is down 22% — a shelf-driven loss, not a demand-driven one.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Concentration: </w:t>
      </w:r>
      <w:r>
        <w:rPr>
          <w:rFonts w:ascii="Calibri" w:hAnsi="Calibri"/>
          <w:b w:val="0"/>
          <w:i w:val="0"/>
          <w:color w:val="13182B"/>
          <w:sz w:val="21"/>
        </w:rPr>
        <w:t>Walmart is ~38% of Louisiana cereal volume (vs 31% nationally), so a two-facing cut is proportionally more punishing in the South.</w:t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FIELD EVIDENCE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We are losing real estate, not consumers</w:t>
      </w:r>
    </w:p>
    <w:p>
      <w:r>
        <w:rPr>
          <w:rFonts w:ascii="Calibri" w:hAnsi="Calibri"/>
          <w:b w:val="0"/>
          <w:i w:val="0"/>
          <w:color w:val="13182B"/>
          <w:sz w:val="21"/>
        </w:rPr>
        <w:t xml:space="preserve">The May 11, 2026 field walk across Louisiana Walmart stores is the most damning slide in the deck. Of </w:t>
      </w:r>
      <w:r>
        <w:rPr>
          <w:rFonts w:ascii="Calibri" w:hAnsi="Calibri"/>
          <w:b/>
          <w:i w:val="0"/>
          <w:color w:val="13182B"/>
          <w:sz w:val="21"/>
        </w:rPr>
        <w:t>41 Supercenters audited, 23 carried three Larksfield endcaps</w:t>
      </w:r>
      <w:r>
        <w:rPr>
          <w:rFonts w:ascii="Calibri" w:hAnsi="Calibri"/>
          <w:b w:val="0"/>
          <w:i w:val="0"/>
          <w:color w:val="13182B"/>
          <w:sz w:val="21"/>
        </w:rPr>
        <w:t xml:space="preserve"> — Field &amp; Honey 14oz, Field &amp; Honey Almond and Harvest Hearth — while Acme captured </w:t>
      </w:r>
      <w:r>
        <w:rPr>
          <w:rFonts w:ascii="Calibri" w:hAnsi="Calibri"/>
          <w:b/>
          <w:i w:val="0"/>
          <w:color w:val="13182B"/>
          <w:sz w:val="21"/>
        </w:rPr>
        <w:t>zero endcaps</w:t>
      </w:r>
      <w:r>
        <w:rPr>
          <w:rFonts w:ascii="Calibri" w:hAnsi="Calibri"/>
          <w:b w:val="0"/>
          <w:i w:val="0"/>
          <w:color w:val="13182B"/>
          <w:sz w:val="21"/>
        </w:rPr>
        <w:t>. Average Crunchwell Mega facings had fallen to 4.2, against 5.9 for Field &amp; Honey.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6EE"/>
          <w:left w:val="single" w:sz="4" w:space="0" w:color="E3E6EE"/>
          <w:bottom w:val="single" w:sz="4" w:space="0" w:color="E3E6EE"/>
          <w:right w:val="single" w:sz="4" w:space="0" w:color="E3E6EE"/>
          <w:insideH w:val="single" w:sz="4" w:space="0" w:color="E3E6EE"/>
          <w:insideV w:val="single" w:sz="4" w:space="0" w:color="E3E6EE"/>
        </w:tblBorders>
      </w:tblPr>
      <w:tblGrid>
        <w:gridCol w:w="4752"/>
        <w:gridCol w:w="4752"/>
      </w:tblGrid>
      <w:tr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 metric (May 11, 2026)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LA Walmart stores audited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47</w:t>
            </w:r>
          </w:p>
        </w:tc>
      </w:tr>
      <w:tr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Supercenters in the audit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41</w:t>
            </w:r>
          </w:p>
        </w:tc>
      </w:tr>
      <w:tr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Supercenters with 3 Larksfield endcaps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23</w:t>
            </w:r>
          </w:p>
        </w:tc>
      </w:tr>
      <w:tr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Supercenters with any Acme endcap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0</w:t>
            </w:r>
          </w:p>
        </w:tc>
      </w:tr>
      <w:tr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Avg Crunchwell Mega facings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4.2</w:t>
            </w:r>
          </w:p>
        </w:tc>
      </w:tr>
      <w:tr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Avg Field &amp; Honey facings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5.9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THE MATH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Why two facings pays back</w:t>
      </w:r>
    </w:p>
    <w:p>
      <w:r>
        <w:rPr>
          <w:rFonts w:ascii="Calibri" w:hAnsi="Calibri"/>
          <w:b w:val="0"/>
          <w:i w:val="0"/>
          <w:color w:val="13182B"/>
          <w:sz w:val="21"/>
        </w:rPr>
        <w:t xml:space="preserve">The Louisiana tactical trade injection is the precedent. In Q1, </w:t>
      </w:r>
      <w:r>
        <w:rPr>
          <w:rFonts w:ascii="Calibri" w:hAnsi="Calibri"/>
          <w:b/>
          <w:i w:val="0"/>
          <w:color w:val="13182B"/>
          <w:sz w:val="21"/>
        </w:rPr>
        <w:t>$280K of trade spend drove 1.1 points of share recovery and $612K of incremental revenue — a 2.2× ROI</w:t>
      </w:r>
      <w:r>
        <w:rPr>
          <w:rFonts w:ascii="Calibri" w:hAnsi="Calibri"/>
          <w:b w:val="0"/>
          <w:i w:val="0"/>
          <w:color w:val="13182B"/>
          <w:sz w:val="21"/>
        </w:rPr>
        <w:t>. Applying the same elasticity to a two-facing recovery plus a $340K Q3 injection projects ~1.2 points of South Division recovery and ~$612K of incremental revenue. If Walmart grants only one facing, expect roughly half: +70–90 bps.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6EE"/>
          <w:left w:val="single" w:sz="4" w:space="0" w:color="E3E6EE"/>
          <w:bottom w:val="single" w:sz="4" w:space="0" w:color="E3E6EE"/>
          <w:right w:val="single" w:sz="4" w:space="0" w:color="E3E6EE"/>
          <w:insideH w:val="single" w:sz="4" w:space="0" w:color="E3E6EE"/>
          <w:insideV w:val="single" w:sz="4" w:space="0" w:color="E3E6EE"/>
        </w:tblBorders>
      </w:tblPr>
      <w:tblGrid>
        <w:gridCol w:w="3168"/>
        <w:gridCol w:w="3168"/>
        <w:gridCol w:w="3168"/>
      </w:tblGrid>
      <w:tr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Scenario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Facings won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13182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Expected South recovery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Full ask (best case)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2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+150–180 bps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Partial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1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6F7FB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+70–90 bps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No facings (trade only)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0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13182B"/>
                <w:sz w:val="19"/>
              </w:rPr>
              <w:t>+40–60 bps, not durable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RELATED CROSS-FLAGS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What else the buyer should hear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H-E-B: </w:t>
      </w:r>
      <w:r>
        <w:rPr>
          <w:rFonts w:ascii="Calibri" w:hAnsi="Calibri"/>
          <w:b w:val="0"/>
          <w:i w:val="0"/>
          <w:color w:val="13182B"/>
          <w:sz w:val="21"/>
        </w:rPr>
        <w:t>Cinnamon Twist (CR006) is at delisting risk at H-E-B; a reformulation decision is pending for FY27.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Rouses: </w:t>
      </w:r>
      <w:r>
        <w:rPr>
          <w:rFonts w:ascii="Calibri" w:hAnsi="Calibri"/>
          <w:b w:val="0"/>
          <w:i w:val="0"/>
          <w:color w:val="13182B"/>
          <w:sz w:val="21"/>
        </w:rPr>
        <w:t>Crunchwell Mega is out of stock at 8 Rouses doors — a service issue we are closing with Memphis 3PL pre-positioning.</w:t>
      </w:r>
    </w:p>
    <w:p>
      <w:pPr>
        <w:pStyle w:val="ListBullet"/>
        <w:spacing w:after="80"/>
      </w:pPr>
      <w:r>
        <w:rPr>
          <w:rFonts w:ascii="Calibri" w:hAnsi="Calibri"/>
          <w:b/>
          <w:i w:val="0"/>
          <w:color w:val="13182B"/>
          <w:sz w:val="21"/>
        </w:rPr>
        <w:t xml:space="preserve">Larksfield: </w:t>
      </w:r>
      <w:r>
        <w:rPr>
          <w:rFonts w:ascii="Calibri" w:hAnsi="Calibri"/>
          <w:b w:val="0"/>
          <w:i w:val="0"/>
          <w:color w:val="13182B"/>
          <w:sz w:val="21"/>
        </w:rPr>
        <w:t>The three-endcap Larksfield pattern is spreading across the LA-DMA; it is a regional land-grab, not a one-store anomaly.</w:t>
      </w:r>
    </w:p>
    <w:p>
      <w:pPr>
        <w:spacing w:after="40"/>
      </w:pPr>
      <w:r>
        <w:rPr>
          <w:rFonts w:ascii="Calibri" w:hAnsi="Calibri"/>
          <w:b/>
          <w:i w:val="0"/>
          <w:color w:val="C0392B"/>
          <w:sz w:val="19"/>
        </w:rPr>
        <w:t>NEGOTIATION FRAMING FOR TOM REILLY</w:t>
      </w:r>
    </w:p>
    <w:p>
      <w:pPr>
        <w:spacing w:before="200" w:after="120"/>
      </w:pPr>
      <w:r>
        <w:rPr>
          <w:rFonts w:ascii="Calibri" w:hAnsi="Calibri"/>
          <w:b/>
          <w:i w:val="0"/>
          <w:color w:val="13182B"/>
          <w:sz w:val="36"/>
        </w:rPr>
        <w:t>How to land it in the room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Lead with velocity-per-facing, not share. Walmart rewards productivity; +4% velocity on fewer facings is the strongest possible argument.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Position the $340K as a shared-growth investment in category dollars, not a Crunchwell defense.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Use the pack refresh as the “consumer demand catalyst” that justifies the facing restoration in this cycle.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3182B"/>
          <w:sz w:val="21"/>
        </w:rPr>
        <w:t>Hard end date on the trade injection — tactical recovery, not a depth precedent (keeps Marian Holt comfortable).</w:t>
      </w:r>
    </w:p>
    <w:p>
      <w:pPr>
        <w:spacing w:after="0" w:before="0"/>
      </w:pPr>
      <w:r>
        <w:rPr>
          <w:sz w:val="16"/>
        </w:rPr>
      </w:r>
    </w:p>
    <w:p>
      <w:r>
        <w:rPr>
          <w:rFonts w:ascii="Calibri" w:hAnsi="Calibri"/>
          <w:b w:val="0"/>
          <w:i/>
          <w:color w:val="5B6478"/>
          <w:sz w:val="18"/>
        </w:rPr>
        <w:t>Sources: walmart_endcap_audit_la (62 rows, audit 2026-05-11), perfect_store, syndicated_weekly, trade_promo_events_q1_2026 (TPE-Q1-011), sku_elasticity_estimates, heb_cinnamon_twist_delist_risk, rouses_oos_by_door. Acme synthetic dataset.</w:t>
      </w:r>
    </w:p>
    <w:sectPr w:rsidR="00FC693F" w:rsidRPr="0006063C" w:rsidSect="00034616">
      <w:footerReference w:type="default" r:id="rId9"/>
      <w:pgSz w:w="12240" w:h="15840"/>
      <w:pgMar w:top="1296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b w:val="0"/>
        <w:i w:val="0"/>
        <w:color w:val="8A92A6"/>
        <w:sz w:val="16"/>
      </w:rPr>
      <w:t>Internal · Confidential — Acme Corp synthetic demo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3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