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60" w:before="0" w:line="274" w:lineRule="auto"/>
      </w:pPr>
      <w:r>
        <w:rPr>
          <w:rFonts w:ascii="Calibri" w:hAnsi="Calibri"/>
          <w:b/>
          <w:i w:val="0"/>
          <w:color w:val="2E7D75"/>
          <w:sz w:val="19"/>
        </w:rPr>
        <w:t>LONG-RANGE PLAN · FY2027–FY2029</w:t>
      </w:r>
    </w:p>
    <w:p>
      <w:pPr>
        <w:keepNext w:val="0"/>
        <w:spacing w:after="120" w:before="0" w:line="259" w:lineRule="auto"/>
      </w:pPr>
      <w:r>
        <w:rPr>
          <w:rFonts w:ascii="Calibri" w:hAnsi="Calibri"/>
          <w:b/>
          <w:i w:val="0"/>
          <w:color w:val="1F2A44"/>
          <w:sz w:val="46"/>
        </w:rPr>
        <w:t>Three-Year Strategy Narrative</w:t>
      </w:r>
    </w:p>
    <w:p>
      <w:pPr>
        <w:keepNext w:val="0"/>
        <w:spacing w:after="160" w:before="0" w:line="288" w:lineRule="auto"/>
      </w:pPr>
      <w:r>
        <w:rPr>
          <w:rFonts w:ascii="Calibri" w:hAnsi="Calibri"/>
          <w:b w:val="0"/>
          <w:i w:val="0"/>
          <w:color w:val="5B6472"/>
          <w:sz w:val="26"/>
        </w:rPr>
        <w:t>The argument for changing the portfolio mix rather than running the current mix harder</w:t>
      </w:r>
    </w:p>
    <w:p>
      <w:pPr>
        <w:spacing w:after="120"/>
        <w:pBdr>
          <w:bottom w:val="single" w:sz="6" w:space="1" w:color="C9D2DB"/>
        </w:pBdr>
      </w:pPr>
    </w:p>
    <w:p>
      <w:pPr>
        <w:keepNext w:val="0"/>
        <w:spacing w:after="40" w:before="0" w:line="274" w:lineRule="auto"/>
      </w:pPr>
      <w:r>
        <w:rPr>
          <w:rFonts w:ascii="Calibri" w:hAnsi="Calibri"/>
          <w:b/>
          <w:i w:val="0"/>
          <w:color w:val="5B6472"/>
          <w:sz w:val="20"/>
        </w:rPr>
        <w:t>CEO Gregory Whitfield with Strategy</w:t>
      </w:r>
    </w:p>
    <w:p>
      <w:pPr>
        <w:keepNext w:val="0"/>
        <w:spacing w:after="2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Horizon: FY2027–FY2029</w:t>
      </w:r>
    </w:p>
    <w:p>
      <w:pPr>
        <w:keepNext w:val="0"/>
        <w:spacing w:after="2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Companion deck: Report 43</w:t>
      </w:r>
    </w:p>
    <w:p>
      <w:pPr>
        <w:keepNext w:val="0"/>
        <w:spacing w:after="2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Version: v1 · July 2026</w:t>
      </w:r>
    </w:p>
    <w:p>
      <w:pPr>
        <w:keepNext w:val="0"/>
        <w:spacing w:after="20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Internal strategy document · Internal · Confidential — synthetic demo data</w:t>
      </w:r>
    </w:p>
    <w:p>
      <w:pPr>
        <w:keepNext/>
        <w:spacing w:after="60" w:before="180" w:line="274" w:lineRule="auto"/>
      </w:pPr>
      <w:r>
        <w:rPr>
          <w:rFonts w:ascii="Calibri" w:hAnsi="Calibri"/>
          <w:b/>
          <w:i w:val="0"/>
          <w:color w:val="1F2A44"/>
          <w:sz w:val="23"/>
        </w:rPr>
        <w:t>At a glance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96" w:type="dxa"/>
          <w:bottom w:w="40" w:type="dxa"/>
          <w:right w:w="96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34"/>
              </w:rPr>
              <w:t>$1.02B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B6472"/>
                <w:sz w:val="16"/>
              </w:rPr>
              <w:t>FY29 REVENUE TARGET</w:t>
            </w:r>
          </w:p>
        </w:tc>
        <w:tc>
          <w:tcPr>
            <w:tcW w:type="dxa" w:w="2376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34"/>
              </w:rPr>
              <w:t>16%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B6472"/>
                <w:sz w:val="16"/>
              </w:rPr>
              <w:t>EBITDA MARGIN BY FY28</w:t>
            </w:r>
          </w:p>
        </w:tc>
        <w:tc>
          <w:tcPr>
            <w:tcW w:type="dxa" w:w="2376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34"/>
              </w:rPr>
              <w:t>29%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B6472"/>
                <w:sz w:val="16"/>
              </w:rPr>
              <w:t>FY29 REVENUE IN HIGH-GROWTH SEGMENTS</w:t>
            </w:r>
          </w:p>
        </w:tc>
        <w:tc>
          <w:tcPr>
            <w:tcW w:type="dxa" w:w="2376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34"/>
              </w:rPr>
              <w:t>$150M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B6472"/>
                <w:sz w:val="16"/>
              </w:rPr>
              <w:t>PROTEINPEAK FY29</w:t>
            </w:r>
          </w:p>
        </w:tc>
      </w:tr>
    </w:tbl>
    <w:p>
      <w:pPr>
        <w:keepNext w:val="0"/>
        <w:spacing w:after="80" w:before="0" w:line="274" w:lineRule="auto"/>
      </w:pP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THE ARGUMENT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1 · We do not have a growth problem. We have a mix problem.</w:t>
      </w:r>
    </w:p>
    <w:p>
      <w:pPr>
        <w:keepNext w:val="0"/>
        <w:spacing w:after="160" w:before="0" w:line="293" w:lineRule="auto"/>
      </w:pPr>
      <w:r>
        <w:rPr>
          <w:rFonts w:ascii="Calibri" w:hAnsi="Calibri"/>
          <w:b w:val="0"/>
          <w:i/>
          <w:color w:val="5B6472"/>
          <w:sz w:val="24"/>
        </w:rPr>
        <w:t>Acme's portfolio is weighted into segments that grow about one percent a year. No amount of execution changes the arithmetic of that.</w:t>
      </w:r>
    </w:p>
    <w:p>
      <w:pPr>
        <w:keepNext w:val="0"/>
        <w:spacing w:after="120" w:before="0" w:line="274" w:lineRule="auto"/>
      </w:pPr>
      <w:r>
        <w:rPr>
          <w:rFonts w:ascii="Calibri" w:hAnsi="Calibri"/>
          <w:b w:val="0"/>
          <w:i w:val="0"/>
          <w:color w:val="2B2F38"/>
          <w:sz w:val="21"/>
        </w:rPr>
        <w:t>The RTE cereal category grew +1.3% in FY2025 to $8.35B. Inside that number, Wellness Protein grew +18.3% to $3M, Family Sweet — where Crunchwell lives — grew +1.4%, and Kids Sweet, HoneyNest's home, declined -2.8%. Outside cereal, oat milk grew +18.8% to $3M. Acme's revenue is concentrated in the slowest of those pockets.</w:t>
      </w:r>
    </w:p>
    <w:p>
      <w:pPr>
        <w:keepNext w:val="0"/>
        <w:spacing w:after="120" w:before="0" w:line="274" w:lineRule="auto"/>
      </w:pPr>
      <w:r>
        <w:rPr>
          <w:rFonts w:ascii="Calibri" w:hAnsi="Calibri"/>
          <w:b w:val="0"/>
          <w:i w:val="0"/>
          <w:color w:val="2B2F38"/>
          <w:sz w:val="21"/>
        </w:rPr>
        <w:t>Meanwhile our national share is stable: Acme all-brand value share has held around 7.91% for six quarters. We are holding our position in a slow race. The three-year job is to change which race we are in.</w:t>
      </w:r>
    </w:p>
    <w:p>
      <w:pPr>
        <w:spacing w:before="80" w:after="40"/>
      </w:pPr>
      <w:r>
        <w:drawing>
          <wp:inline xmlns:a="http://schemas.openxmlformats.org/drawingml/2006/main" xmlns:pic="http://schemas.openxmlformats.org/drawingml/2006/picture">
            <wp:extent cx="6035040" cy="2398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62_segm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98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 w:before="0" w:line="274" w:lineRule="auto"/>
      </w:pPr>
      <w:r>
        <w:rPr>
          <w:rFonts w:ascii="Calibri" w:hAnsi="Calibri"/>
          <w:b w:val="0"/>
          <w:i/>
          <w:color w:val="5B6472"/>
          <w:sz w:val="17"/>
        </w:rPr>
        <w:t>Where the category grows. Acme's revenue weight sits in the right-hand half of this chart.</w:t>
      </w: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THE FRAME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2 · What we are committing to by FY2029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3802"/>
        <w:gridCol w:w="1901"/>
        <w:gridCol w:w="1901"/>
        <w:gridCol w:w="1901"/>
      </w:tblGrid>
      <w:tr>
        <w:tc>
          <w:tcPr>
            <w:tcW w:type="dxa" w:w="3802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Measure</w:t>
            </w:r>
          </w:p>
        </w:tc>
        <w:tc>
          <w:tcPr>
            <w:tcW w:type="dxa" w:w="190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FY25 actual</w:t>
            </w:r>
          </w:p>
        </w:tc>
        <w:tc>
          <w:tcPr>
            <w:tcW w:type="dxa" w:w="190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FY27 target</w:t>
            </w:r>
          </w:p>
        </w:tc>
        <w:tc>
          <w:tcPr>
            <w:tcW w:type="dxa" w:w="190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FY29 target</w:t>
            </w:r>
          </w:p>
        </w:tc>
      </w:tr>
      <w:tr>
        <w:tc>
          <w:tcPr>
            <w:tcW w:type="dxa" w:w="380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Net revenue</w:t>
            </w:r>
          </w:p>
        </w:tc>
        <w:tc>
          <w:tcPr>
            <w:tcW w:type="dxa" w:w="190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$812M</w:t>
            </w:r>
          </w:p>
        </w:tc>
        <w:tc>
          <w:tcPr>
            <w:tcW w:type="dxa" w:w="190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$880M</w:t>
            </w:r>
          </w:p>
        </w:tc>
        <w:tc>
          <w:tcPr>
            <w:tcW w:type="dxa" w:w="190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~$1.02B</w:t>
            </w:r>
          </w:p>
        </w:tc>
      </w:tr>
      <w:tr>
        <w:tc>
          <w:tcPr>
            <w:tcW w:type="dxa" w:w="3802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EBITDA margin</w:t>
            </w:r>
          </w:p>
        </w:tc>
        <w:tc>
          <w:tcPr>
            <w:tcW w:type="dxa" w:w="190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14.2%</w:t>
            </w:r>
          </w:p>
        </w:tc>
        <w:tc>
          <w:tcPr>
            <w:tcW w:type="dxa" w:w="190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~15.0%</w:t>
            </w:r>
          </w:p>
        </w:tc>
        <w:tc>
          <w:tcPr>
            <w:tcW w:type="dxa" w:w="190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16.0%</w:t>
            </w:r>
          </w:p>
        </w:tc>
      </w:tr>
      <w:tr>
        <w:tc>
          <w:tcPr>
            <w:tcW w:type="dxa" w:w="380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Revenue in high-growth segments</w:t>
            </w:r>
          </w:p>
        </w:tc>
        <w:tc>
          <w:tcPr>
            <w:tcW w:type="dxa" w:w="190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14%</w:t>
            </w:r>
          </w:p>
        </w:tc>
        <w:tc>
          <w:tcPr>
            <w:tcW w:type="dxa" w:w="190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20%</w:t>
            </w:r>
          </w:p>
        </w:tc>
        <w:tc>
          <w:tcPr>
            <w:tcW w:type="dxa" w:w="190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29%</w:t>
            </w:r>
          </w:p>
        </w:tc>
      </w:tr>
      <w:tr>
        <w:tc>
          <w:tcPr>
            <w:tcW w:type="dxa" w:w="3802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ProteinPeak revenue</w:t>
            </w:r>
          </w:p>
        </w:tc>
        <w:tc>
          <w:tcPr>
            <w:tcW w:type="dxa" w:w="190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$48M</w:t>
            </w:r>
          </w:p>
        </w:tc>
        <w:tc>
          <w:tcPr>
            <w:tcW w:type="dxa" w:w="190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$100M</w:t>
            </w:r>
          </w:p>
        </w:tc>
        <w:tc>
          <w:tcPr>
            <w:tcW w:type="dxa" w:w="190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$150M</w:t>
            </w:r>
          </w:p>
        </w:tc>
      </w:tr>
      <w:tr>
        <w:tc>
          <w:tcPr>
            <w:tcW w:type="dxa" w:w="380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Portfolio trade incrementality index</w:t>
            </w:r>
          </w:p>
        </w:tc>
        <w:tc>
          <w:tcPr>
            <w:tcW w:type="dxa" w:w="190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0.52</w:t>
            </w:r>
          </w:p>
        </w:tc>
        <w:tc>
          <w:tcPr>
            <w:tcW w:type="dxa" w:w="190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0.60</w:t>
            </w:r>
          </w:p>
        </w:tc>
        <w:tc>
          <w:tcPr>
            <w:tcW w:type="dxa" w:w="190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0.65</w:t>
            </w:r>
          </w:p>
        </w:tc>
      </w:tr>
      <w:tr>
        <w:tc>
          <w:tcPr>
            <w:tcW w:type="dxa" w:w="3802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Retail-media modelled ratio</w:t>
            </w:r>
          </w:p>
        </w:tc>
        <w:tc>
          <w:tcPr>
            <w:tcW w:type="dxa" w:w="190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0.65</w:t>
            </w:r>
          </w:p>
        </w:tc>
        <w:tc>
          <w:tcPr>
            <w:tcW w:type="dxa" w:w="190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0.85</w:t>
            </w:r>
          </w:p>
        </w:tc>
        <w:tc>
          <w:tcPr>
            <w:tcW w:type="dxa" w:w="190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1.00</w:t>
            </w:r>
          </w:p>
        </w:tc>
      </w:tr>
    </w:tbl>
    <w:p>
      <w:pPr>
        <w:keepNext w:val="0"/>
        <w:spacing w:after="60" w:before="0" w:line="274" w:lineRule="auto"/>
      </w:pPr>
    </w:p>
    <w:p>
      <w:pPr>
        <w:keepNext w:val="0"/>
        <w:spacing w:after="160" w:before="0" w:line="274" w:lineRule="auto"/>
      </w:pPr>
      <w:r>
        <w:rPr>
          <w:rFonts w:ascii="Calibri" w:hAnsi="Calibri"/>
          <w:b w:val="0"/>
          <w:i/>
          <w:color w:val="5B6472"/>
          <w:sz w:val="16"/>
        </w:rPr>
        <w:t>Source: FY25 from company facts and seed tables; FY27 and FY29 are targets.</w:t>
      </w:r>
    </w:p>
    <w:tbl>
      <w:tblPr>
        <w:tblW w:w="9504" w:type="dxa"/>
        <w:tblBorders>
          <w:top w:val="none"/>
          <w:left w:val="single" w:sz="24" w:color="2E7D75"/>
          <w:bottom w:val="none"/>
          <w:right w:val="none"/>
          <w:insideH w:val="none"/>
          <w:insideV w:val="none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21"/>
              </w:rPr>
              <w:t>What a target is, in this document</w:t>
            </w:r>
          </w:p>
          <w:p>
            <w:pPr>
              <w:spacing w:after="40" w:line="274" w:lineRule="auto"/>
            </w:pPr>
            <w:r>
              <w:rPr>
                <w:rFonts w:ascii="Calibri" w:hAnsi="Calibri"/>
                <w:b w:val="0"/>
                <w:i w:val="0"/>
                <w:color w:val="2B2F38"/>
                <w:sz w:val="20"/>
              </w:rPr>
              <w:t>Every FY27–FY29 figure here is a commitment the executive committee is signing up to, not a forecast of what the market will do. The gates in section 6 are how the committee holds itself to them.</w:t>
            </w:r>
          </w:p>
        </w:tc>
      </w:tr>
    </w:tbl>
    <w:p>
      <w:pPr>
        <w:keepNext w:val="0"/>
        <w:spacing w:after="80" w:before="0" w:line="274" w:lineRule="auto"/>
      </w:pP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BET 1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3 · Win Wellness Protein</w:t>
      </w:r>
    </w:p>
    <w:p>
      <w:pPr>
        <w:keepNext w:val="0"/>
        <w:spacing w:after="120" w:before="0" w:line="274" w:lineRule="auto"/>
      </w:pPr>
      <w:r>
        <w:rPr>
          <w:rFonts w:ascii="Calibri" w:hAnsi="Calibri"/>
          <w:b w:val="0"/>
          <w:i w:val="0"/>
          <w:color w:val="2B2F38"/>
          <w:sz w:val="21"/>
        </w:rPr>
        <w:t>Wellness Protein is a $3M segment growing +18.3% a year, and Acme holds 7.6% of it. ProteinPeak went from $48M in FY25 to a $62M estimate in FY26 on the back of two SKUs launched in April 2026, with 53% of launch volume new to Acme. The three-year commitment is $150M by FY29, which requires share in the mid-teens rather than the high single digits.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Distribution before innovation.</w:t>
      </w:r>
      <w:r>
        <w:rPr>
          <w:rFonts w:ascii="Calibri" w:hAnsi="Calibri"/>
          <w:b w:val="0"/>
          <w:i w:val="0"/>
          <w:color w:val="2B2F38"/>
          <w:sz w:val="21"/>
        </w:rPr>
        <w:t xml:space="preserve"> Cinnamon Crunch and Cocoa Almond sit at 38% and 28% national ACV. Getting both to the level of Vanilla Almond is worth more than any new SKU.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Then innovation.</w:t>
      </w:r>
      <w:r>
        <w:rPr>
          <w:rFonts w:ascii="Calibri" w:hAnsi="Calibri"/>
          <w:b w:val="0"/>
          <w:i w:val="0"/>
          <w:color w:val="2B2F38"/>
          <w:sz w:val="21"/>
        </w:rPr>
        <w:t xml:space="preserve"> Chocolate Almond (64% top-two-box, clears the 55% action standard) in FY27, ProteinPeak Bars 12g opening the $2.96B bar segment in FY28.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Creator-led, not TV-led.</w:t>
      </w:r>
      <w:r>
        <w:rPr>
          <w:rFonts w:ascii="Calibri" w:hAnsi="Calibri"/>
          <w:b w:val="0"/>
          <w:i w:val="0"/>
          <w:color w:val="2B2F38"/>
          <w:sz w:val="21"/>
        </w:rPr>
        <w:t xml:space="preserve"> The brand's social sentiment runs +0.44 against Crunchwell's −0.11. The mix that produced that is the mix we scale.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Price discipline.</w:t>
      </w:r>
      <w:r>
        <w:rPr>
          <w:rFonts w:ascii="Calibri" w:hAnsi="Calibri"/>
          <w:b w:val="0"/>
          <w:i w:val="0"/>
          <w:color w:val="2B2F38"/>
          <w:sz w:val="21"/>
        </w:rPr>
        <w:t xml:space="preserve"> $7.49 held, depth capped at 10%. A premium item trained to discount stops being a premium item.</w:t>
      </w:r>
    </w:p>
    <w:p>
      <w:pPr>
        <w:keepNext w:val="0"/>
        <w:spacing w:after="40" w:before="0" w:line="274" w:lineRule="auto"/>
      </w:pP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BET 2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4 · Stabilise the Crunchwell core</w:t>
      </w:r>
    </w:p>
    <w:p>
      <w:pPr>
        <w:keepNext w:val="0"/>
        <w:spacing w:after="120" w:before="0" w:line="274" w:lineRule="auto"/>
      </w:pPr>
      <w:r>
        <w:rPr>
          <w:rFonts w:ascii="Calibri" w:hAnsi="Calibri"/>
          <w:b w:val="0"/>
          <w:i w:val="0"/>
          <w:color w:val="2B2F38"/>
          <w:sz w:val="21"/>
        </w:rPr>
        <w:t>Crunchwell is 38% of company revenue and has been flat for six quarters while the category grew. The equity data says why: Relevance fell 5.9 points while Trust rose. The three-year commitment is stabilisation in FY27, relevance recovery in FY28 and modest growth in FY29 — in that order, with a gate at each step (Report 66).</w:t>
      </w:r>
    </w:p>
    <w:p>
      <w:pPr>
        <w:keepNext w:val="0"/>
        <w:spacing w:after="120" w:before="0" w:line="274" w:lineRule="auto"/>
      </w:pPr>
      <w:r>
        <w:rPr>
          <w:rFonts w:ascii="Calibri" w:hAnsi="Calibri"/>
          <w:b w:val="0"/>
          <w:i w:val="0"/>
          <w:color w:val="2B2F38"/>
          <w:sz w:val="21"/>
        </w:rPr>
        <w:t>The reason this is a stabilisation commitment rather than a growth commitment is arithmetic. Family Sweet grows about 1.4% a year. A brand holding share in that segment grows 1.4%. Anything more has to come from share, and share has to come from relevance, and relevance takes more than one planning cycle to move.</w:t>
      </w: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BET 3 &amp; 4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5 · Better-for-you adjacency and commercial efficiency</w:t>
      </w:r>
    </w:p>
    <w:p>
      <w:pPr>
        <w:keepNext/>
        <w:spacing w:after="60" w:before="180" w:line="274" w:lineRule="auto"/>
      </w:pPr>
      <w:r>
        <w:rPr>
          <w:rFonts w:ascii="Calibri" w:hAnsi="Calibri"/>
          <w:b/>
          <w:i w:val="0"/>
          <w:color w:val="1F2A44"/>
          <w:sz w:val="23"/>
        </w:rPr>
        <w:t>5.1 · Adjacency</w:t>
      </w:r>
    </w:p>
    <w:p>
      <w:pPr>
        <w:keepNext w:val="0"/>
        <w:spacing w:after="120" w:before="0" w:line="274" w:lineRule="auto"/>
      </w:pPr>
      <w:r>
        <w:rPr>
          <w:rFonts w:ascii="Calibri" w:hAnsi="Calibri"/>
          <w:b w:val="0"/>
          <w:i w:val="0"/>
          <w:color w:val="2B2F38"/>
          <w:sz w:val="21"/>
        </w:rPr>
        <w:t>TrailGrove in granola and RootDay in oat milk sit in segments growing +3.3% and +18.8% respectively, and between them they receive less A&amp;P than Crunchwell spends on linear television. The FY27–FY29 plan raises their investment modestly and weights it to distribution rather than innovation (Report 51).</w:t>
      </w:r>
    </w:p>
    <w:p>
      <w:pPr>
        <w:keepNext/>
        <w:spacing w:after="60" w:before="180" w:line="274" w:lineRule="auto"/>
      </w:pPr>
      <w:r>
        <w:rPr>
          <w:rFonts w:ascii="Calibri" w:hAnsi="Calibri"/>
          <w:b/>
          <w:i w:val="0"/>
          <w:color w:val="1F2A44"/>
          <w:sz w:val="23"/>
        </w:rPr>
        <w:t>5.2 · Efficiency</w:t>
      </w:r>
    </w:p>
    <w:p>
      <w:pPr>
        <w:keepNext w:val="0"/>
        <w:spacing w:after="120" w:before="0" w:line="274" w:lineRule="auto"/>
      </w:pPr>
      <w:r>
        <w:rPr>
          <w:rFonts w:ascii="Calibri" w:hAnsi="Calibri"/>
          <w:b w:val="0"/>
          <w:i w:val="0"/>
          <w:color w:val="2B2F38"/>
          <w:sz w:val="21"/>
        </w:rPr>
        <w:t>The transition is funded from inside the P&amp;L: trade incrementality from 0.52 to 0.65, retail-media modelled ratio from 0.65 to 1.00, and the stop list in section 7. None of the three requires incremental investment from the shareholder.</w:t>
      </w: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GATES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6 · How the committee holds this plan to account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1140"/>
        <w:gridCol w:w="1521"/>
        <w:gridCol w:w="3612"/>
        <w:gridCol w:w="3231"/>
      </w:tblGrid>
      <w:tr>
        <w:tc>
          <w:tcPr>
            <w:tcW w:type="dxa" w:w="1140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Gate</w:t>
            </w:r>
          </w:p>
        </w:tc>
        <w:tc>
          <w:tcPr>
            <w:tcW w:type="dxa" w:w="152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When</w:t>
            </w:r>
          </w:p>
        </w:tc>
        <w:tc>
          <w:tcPr>
            <w:tcW w:type="dxa" w:w="3612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</w:t>
            </w:r>
          </w:p>
        </w:tc>
        <w:tc>
          <w:tcPr>
            <w:tcW w:type="dxa" w:w="323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Consequence of failure</w:t>
            </w:r>
          </w:p>
        </w:tc>
      </w:tr>
      <w:tr>
        <w:tc>
          <w:tcPr>
            <w:tcW w:type="dxa" w:w="114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Gate 1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Q4 FY26</w:t>
            </w:r>
          </w:p>
        </w:tc>
        <w:tc>
          <w:tcPr>
            <w:tcW w:type="dxa" w:w="361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Pack Refresh in market; Louisiana share above 4.0%</w:t>
            </w:r>
          </w:p>
        </w:tc>
        <w:tc>
          <w:tcPr>
            <w:tcW w:type="dxa" w:w="323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Crunchwell moves to maintenance A&amp;P; money to ProteinPeak</w:t>
            </w:r>
          </w:p>
        </w:tc>
      </w:tr>
      <w:tr>
        <w:tc>
          <w:tcPr>
            <w:tcW w:type="dxa" w:w="1140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Gate 2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Q4 FY27</w:t>
            </w:r>
          </w:p>
        </w:tc>
        <w:tc>
          <w:tcPr>
            <w:tcW w:type="dxa" w:w="3612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ProteinPeak above $100M run-rate with full Walmart and Kroger distribution</w:t>
            </w:r>
          </w:p>
        </w:tc>
        <w:tc>
          <w:tcPr>
            <w:tcW w:type="dxa" w:w="323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Re-plan the FY29 protein commitment downward</w:t>
            </w:r>
          </w:p>
        </w:tc>
      </w:tr>
      <w:tr>
        <w:tc>
          <w:tcPr>
            <w:tcW w:type="dxa" w:w="114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Gate 3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FY28 planning</w:t>
            </w:r>
          </w:p>
        </w:tc>
        <w:tc>
          <w:tcPr>
            <w:tcW w:type="dxa" w:w="361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Trade index above 0.60 and retail-media ratio above 0.85</w:t>
            </w:r>
          </w:p>
        </w:tc>
        <w:tc>
          <w:tcPr>
            <w:tcW w:type="dxa" w:w="323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Trade Finance takes calendar control; margin target re-cut</w:t>
            </w:r>
          </w:p>
        </w:tc>
      </w:tr>
      <w:tr>
        <w:tc>
          <w:tcPr>
            <w:tcW w:type="dxa" w:w="1140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Annual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Every July</w:t>
            </w:r>
          </w:p>
        </w:tc>
        <w:tc>
          <w:tcPr>
            <w:tcW w:type="dxa" w:w="3612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LRP re-baselined against the AOP</w:t>
            </w:r>
          </w:p>
        </w:tc>
        <w:tc>
          <w:tcPr>
            <w:tcW w:type="dxa" w:w="323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Plan is restated rather than quietly missed</w:t>
            </w:r>
          </w:p>
        </w:tc>
      </w:tr>
    </w:tbl>
    <w:p>
      <w:pPr>
        <w:keepNext w:val="0"/>
        <w:spacing w:after="60" w:before="0" w:line="274" w:lineRule="auto"/>
      </w:pPr>
    </w:p>
    <w:p>
      <w:pPr>
        <w:keepNext w:val="0"/>
        <w:spacing w:after="160" w:before="0" w:line="274" w:lineRule="auto"/>
      </w:pPr>
      <w:r>
        <w:rPr>
          <w:rFonts w:ascii="Calibri" w:hAnsi="Calibri"/>
          <w:b w:val="0"/>
          <w:i/>
          <w:color w:val="5B6472"/>
          <w:sz w:val="16"/>
        </w:rPr>
        <w:t>Source: Gate tests use measures already reported in this repository, not new instrumentation.</w:t>
      </w: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THE STOP LIST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7 · What three years of discipline means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3041"/>
        <w:gridCol w:w="2851"/>
        <w:gridCol w:w="1331"/>
        <w:gridCol w:w="2281"/>
      </w:tblGrid>
      <w:tr>
        <w:tc>
          <w:tcPr>
            <w:tcW w:type="dxa" w:w="304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Stop or exit</w:t>
            </w:r>
          </w:p>
        </w:tc>
        <w:tc>
          <w:tcPr>
            <w:tcW w:type="dxa" w:w="285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Why</w:t>
            </w:r>
          </w:p>
        </w:tc>
        <w:tc>
          <w:tcPr>
            <w:tcW w:type="dxa" w:w="133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When</w:t>
            </w:r>
          </w:p>
        </w:tc>
        <w:tc>
          <w:tcPr>
            <w:tcW w:type="dxa" w:w="228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Freed resource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RootDay Coconut Blend, HoneyNest Granola Crunch, HoneyNest Cookie Dough</w:t>
            </w:r>
          </w:p>
        </w:tc>
        <w:tc>
          <w:tcPr>
            <w:tcW w:type="dxa" w:w="285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Sub-scale, low velocity, negative contribution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Q3 FY26</w:t>
            </w:r>
          </w:p>
        </w:tc>
        <w:tc>
          <w:tcPr>
            <w:tcW w:type="dxa" w:w="228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≈$1.5M trade plus shelf</w:t>
            </w:r>
          </w:p>
        </w:tc>
      </w:tr>
      <w:tr>
        <w:tc>
          <w:tcPr>
            <w:tcW w:type="dxa" w:w="304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Linear TV as Crunchwell's dominant channel</w:t>
            </w:r>
          </w:p>
        </w:tc>
        <w:tc>
          <w:tcPr>
            <w:tcW w:type="dxa" w:w="285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Reach without relevance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FY27 planning</w:t>
            </w:r>
          </w:p>
        </w:tc>
        <w:tc>
          <w:tcPr>
            <w:tcW w:type="dxa" w:w="228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≈$8M to reallocate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Amazon Ads at current weight</w:t>
            </w:r>
          </w:p>
        </w:tc>
        <w:tc>
          <w:tcPr>
            <w:tcW w:type="dxa" w:w="285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Modelled incrementality ratio 0.40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H2 FY26</w:t>
            </w:r>
          </w:p>
        </w:tc>
        <w:tc>
          <w:tcPr>
            <w:tcW w:type="dxa" w:w="228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≈$0.7M immediately</w:t>
            </w:r>
          </w:p>
        </w:tc>
      </w:tr>
      <w:tr>
        <w:tc>
          <w:tcPr>
            <w:tcW w:type="dxa" w:w="304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Kids Sweet innovation beyond LTOs</w:t>
            </w:r>
          </w:p>
        </w:tc>
        <w:tc>
          <w:tcPr>
            <w:tcW w:type="dxa" w:w="285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Segment −2.8%, mom-guilt trend 0.68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FY27 plan</w:t>
            </w:r>
          </w:p>
        </w:tc>
        <w:tc>
          <w:tcPr>
            <w:tcW w:type="dxa" w:w="228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R&amp;D capacity to protein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Defending under-indexed Northeast DMAs</w:t>
            </w:r>
          </w:p>
        </w:tc>
        <w:tc>
          <w:tcPr>
            <w:tcW w:type="dxa" w:w="285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3.4–3.8% share, no structural advantage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FY27 plan</w:t>
            </w:r>
          </w:p>
        </w:tc>
        <w:tc>
          <w:tcPr>
            <w:tcW w:type="dxa" w:w="228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Trade and merchandising focus to the South</w:t>
            </w:r>
          </w:p>
        </w:tc>
      </w:tr>
    </w:tbl>
    <w:p>
      <w:pPr>
        <w:keepNext w:val="0"/>
        <w:spacing w:after="60" w:before="0" w:line="274" w:lineRule="auto"/>
      </w:pPr>
    </w:p>
    <w:p>
      <w:pPr>
        <w:keepNext w:val="0"/>
        <w:spacing w:after="160" w:before="0" w:line="274" w:lineRule="auto"/>
      </w:pPr>
      <w:r>
        <w:rPr>
          <w:rFonts w:ascii="Calibri" w:hAnsi="Calibri"/>
          <w:b w:val="0"/>
          <w:i/>
          <w:color w:val="5B6472"/>
          <w:sz w:val="16"/>
        </w:rPr>
        <w:t>Source: seeds/innovation_pipeline.csv, seed_marketing_spend, seed_retail_media_spend_q1_2026, seed_macro_trends, seed_geographies.</w:t>
      </w: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CONTEXT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8 · The trends this plan is built against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3231"/>
        <w:gridCol w:w="1331"/>
        <w:gridCol w:w="2091"/>
        <w:gridCol w:w="2851"/>
      </w:tblGrid>
      <w:tr>
        <w:tc>
          <w:tcPr>
            <w:tcW w:type="dxa" w:w="323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Trend</w:t>
            </w:r>
          </w:p>
        </w:tc>
        <w:tc>
          <w:tcPr>
            <w:tcW w:type="dxa" w:w="133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Strength</w:t>
            </w:r>
          </w:p>
        </w:tc>
        <w:tc>
          <w:tcPr>
            <w:tcW w:type="dxa" w:w="209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Direction</w:t>
            </w:r>
          </w:p>
        </w:tc>
        <w:tc>
          <w:tcPr>
            <w:tcW w:type="dxa" w:w="285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Categories affected</w:t>
            </w:r>
          </w:p>
        </w:tc>
      </w:tr>
      <w:tr>
        <w:tc>
          <w:tcPr>
            <w:tcW w:type="dxa" w:w="323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High-protein cereal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0.92</w:t>
            </w:r>
          </w:p>
        </w:tc>
        <w:tc>
          <w:tcPr>
            <w:tcW w:type="dxa" w:w="209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Up</w:t>
            </w:r>
          </w:p>
        </w:tc>
        <w:tc>
          <w:tcPr>
            <w:tcW w:type="dxa" w:w="285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RTE Cereal</w:t>
            </w:r>
          </w:p>
        </w:tc>
      </w:tr>
      <w:tr>
        <w:tc>
          <w:tcPr>
            <w:tcW w:type="dxa" w:w="323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TikTok Shop grocery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0.86</w:t>
            </w:r>
          </w:p>
        </w:tc>
        <w:tc>
          <w:tcPr>
            <w:tcW w:type="dxa" w:w="209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Up</w:t>
            </w:r>
          </w:p>
        </w:tc>
        <w:tc>
          <w:tcPr>
            <w:tcW w:type="dxa" w:w="285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All Categories</w:t>
            </w:r>
          </w:p>
        </w:tc>
      </w:tr>
      <w:tr>
        <w:tc>
          <w:tcPr>
            <w:tcW w:type="dxa" w:w="323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Plant-based milk barista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0.84</w:t>
            </w:r>
          </w:p>
        </w:tc>
        <w:tc>
          <w:tcPr>
            <w:tcW w:type="dxa" w:w="209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Up</w:t>
            </w:r>
          </w:p>
        </w:tc>
        <w:tc>
          <w:tcPr>
            <w:tcW w:type="dxa" w:w="285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Plant-Based Milk</w:t>
            </w:r>
          </w:p>
        </w:tc>
      </w:tr>
      <w:tr>
        <w:tc>
          <w:tcPr>
            <w:tcW w:type="dxa" w:w="323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Cinnamon flavor renaissance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0.81</w:t>
            </w:r>
          </w:p>
        </w:tc>
        <w:tc>
          <w:tcPr>
            <w:tcW w:type="dxa" w:w="209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Up</w:t>
            </w:r>
          </w:p>
        </w:tc>
        <w:tc>
          <w:tcPr>
            <w:tcW w:type="dxa" w:w="285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RTE Cereal+Granola</w:t>
            </w:r>
          </w:p>
        </w:tc>
      </w:tr>
      <w:tr>
        <w:tc>
          <w:tcPr>
            <w:tcW w:type="dxa" w:w="323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GLP-1 / Ozempic appetite shift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0.81</w:t>
            </w:r>
          </w:p>
        </w:tc>
        <w:tc>
          <w:tcPr>
            <w:tcW w:type="dxa" w:w="209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Down (volume impact)</w:t>
            </w:r>
          </w:p>
        </w:tc>
        <w:tc>
          <w:tcPr>
            <w:tcW w:type="dxa" w:w="285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RTE Cereal+Bar+Hot Cereal</w:t>
            </w:r>
          </w:p>
        </w:tc>
      </w:tr>
      <w:tr>
        <w:tc>
          <w:tcPr>
            <w:tcW w:type="dxa" w:w="323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Sustainable packaging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0.74</w:t>
            </w:r>
          </w:p>
        </w:tc>
        <w:tc>
          <w:tcPr>
            <w:tcW w:type="dxa" w:w="209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Up</w:t>
            </w:r>
          </w:p>
        </w:tc>
        <w:tc>
          <w:tcPr>
            <w:tcW w:type="dxa" w:w="285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All Categories</w:t>
            </w:r>
          </w:p>
        </w:tc>
      </w:tr>
      <w:tr>
        <w:tc>
          <w:tcPr>
            <w:tcW w:type="dxa" w:w="323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Limited-time offers (LTO) acceleration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0.74</w:t>
            </w:r>
          </w:p>
        </w:tc>
        <w:tc>
          <w:tcPr>
            <w:tcW w:type="dxa" w:w="209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Up</w:t>
            </w:r>
          </w:p>
        </w:tc>
        <w:tc>
          <w:tcPr>
            <w:tcW w:type="dxa" w:w="285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RTE Cereal+Granola+Bar</w:t>
            </w:r>
          </w:p>
        </w:tc>
      </w:tr>
      <w:tr>
        <w:tc>
          <w:tcPr>
            <w:tcW w:type="dxa" w:w="323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Wellness-Hero pillar consolidation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0.74</w:t>
            </w:r>
          </w:p>
        </w:tc>
        <w:tc>
          <w:tcPr>
            <w:tcW w:type="dxa" w:w="209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Up</w:t>
            </w:r>
          </w:p>
        </w:tc>
        <w:tc>
          <w:tcPr>
            <w:tcW w:type="dxa" w:w="285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RTE Cereal+Bar+Plant-Based Mil</w:t>
            </w:r>
          </w:p>
        </w:tc>
      </w:tr>
    </w:tbl>
    <w:p>
      <w:pPr>
        <w:keepNext w:val="0"/>
        <w:spacing w:after="60" w:before="0" w:line="274" w:lineRule="auto"/>
      </w:pPr>
    </w:p>
    <w:p>
      <w:pPr>
        <w:keepNext w:val="0"/>
        <w:spacing w:after="160" w:before="0" w:line="274" w:lineRule="auto"/>
      </w:pPr>
      <w:r>
        <w:rPr>
          <w:rFonts w:ascii="Calibri" w:hAnsi="Calibri"/>
          <w:b w:val="0"/>
          <w:i/>
          <w:color w:val="5B6472"/>
          <w:sz w:val="16"/>
        </w:rPr>
        <w:t>Source: seed_macro_trends, top eight by strength.</w:t>
      </w:r>
    </w:p>
    <w:tbl>
      <w:tblPr>
        <w:tblW w:w="9504" w:type="dxa"/>
        <w:tblBorders>
          <w:top w:val="none"/>
          <w:left w:val="single" w:sz="24" w:color="B24A2E"/>
          <w:bottom w:val="none"/>
          <w:right w:val="none"/>
          <w:insideH w:val="none"/>
          <w:insideV w:val="none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21"/>
              </w:rPr>
              <w:t>The trend that should worry us most</w:t>
            </w:r>
          </w:p>
          <w:p>
            <w:pPr>
              <w:spacing w:after="40" w:line="274" w:lineRule="auto"/>
            </w:pPr>
            <w:r>
              <w:rPr>
                <w:rFonts w:ascii="Calibri" w:hAnsi="Calibri"/>
                <w:b w:val="0"/>
                <w:i w:val="0"/>
                <w:color w:val="2B2F38"/>
                <w:sz w:val="20"/>
              </w:rPr>
              <w:t>GLP-1 appetite shift runs at 0.81 strength with a downward volume direction across cereal, bars and hot cereal. It argues for smaller packs, higher protein and premium price-per-serving — which is what this plan does, but the pace of the shift is the biggest single uncertainty in the three-year frame.</w:t>
            </w:r>
          </w:p>
        </w:tc>
      </w:tr>
    </w:tbl>
    <w:p>
      <w:pPr>
        <w:keepNext w:val="0"/>
        <w:spacing w:after="80" w:before="0" w:line="274" w:lineRule="auto"/>
      </w:pPr>
    </w:p>
    <w:p>
      <w:pPr>
        <w:keepNext/>
        <w:spacing w:after="60" w:before="180" w:line="274" w:lineRule="auto"/>
      </w:pPr>
      <w:r>
        <w:rPr>
          <w:rFonts w:ascii="Calibri" w:hAnsi="Calibri"/>
          <w:b/>
          <w:i w:val="0"/>
          <w:color w:val="1F2A44"/>
          <w:sz w:val="23"/>
        </w:rPr>
        <w:t>Recommendations &amp; next steps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475"/>
        <w:gridCol w:w="5227"/>
        <w:gridCol w:w="2281"/>
        <w:gridCol w:w="1521"/>
      </w:tblGrid>
      <w:tr>
        <w:tc>
          <w:tcPr>
            <w:tcW w:type="dxa" w:w="475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5227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228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152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When</w:t>
            </w:r>
          </w:p>
        </w:tc>
      </w:tr>
      <w:tr>
        <w:tc>
          <w:tcPr>
            <w:tcW w:type="dxa" w:w="475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1</w:t>
            </w:r>
          </w:p>
        </w:tc>
        <w:tc>
          <w:tcPr>
            <w:tcW w:type="dxa" w:w="5227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Approve the FY27–FY29 frame: $880M FY27 → ~$1.02B FY29 at 16% margin, with the mix-shift target</w:t>
            </w:r>
          </w:p>
        </w:tc>
        <w:tc>
          <w:tcPr>
            <w:tcW w:type="dxa" w:w="228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Executive committee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July 2026</w:t>
            </w:r>
          </w:p>
        </w:tc>
      </w:tr>
      <w:tr>
        <w:tc>
          <w:tcPr>
            <w:tcW w:type="dxa" w:w="475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2</w:t>
            </w:r>
          </w:p>
        </w:tc>
        <w:tc>
          <w:tcPr>
            <w:tcW w:type="dxa" w:w="5227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Adopt the four gates and their stated consequences</w:t>
            </w:r>
          </w:p>
        </w:tc>
        <w:tc>
          <w:tcPr>
            <w:tcW w:type="dxa" w:w="228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CEO / CFO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July 2026</w:t>
            </w:r>
          </w:p>
        </w:tc>
      </w:tr>
      <w:tr>
        <w:tc>
          <w:tcPr>
            <w:tcW w:type="dxa" w:w="475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3</w:t>
            </w:r>
          </w:p>
        </w:tc>
        <w:tc>
          <w:tcPr>
            <w:tcW w:type="dxa" w:w="5227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Publish the stop list to the leadership team so it is visible, not implicit</w:t>
            </w:r>
          </w:p>
        </w:tc>
        <w:tc>
          <w:tcPr>
            <w:tcW w:type="dxa" w:w="228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Strategy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By Aug 15</w:t>
            </w:r>
          </w:p>
        </w:tc>
      </w:tr>
      <w:tr>
        <w:tc>
          <w:tcPr>
            <w:tcW w:type="dxa" w:w="475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4</w:t>
            </w:r>
          </w:p>
        </w:tc>
        <w:tc>
          <w:tcPr>
            <w:tcW w:type="dxa" w:w="5227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Add a GLP-1 volume sensitivity to the plan each July</w:t>
            </w:r>
          </w:p>
        </w:tc>
        <w:tc>
          <w:tcPr>
            <w:tcW w:type="dxa" w:w="228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Strategy / FP&amp;A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Annually</w:t>
            </w:r>
          </w:p>
        </w:tc>
      </w:tr>
    </w:tbl>
    <w:p>
      <w:pPr>
        <w:keepNext w:val="0"/>
        <w:spacing w:after="60" w:before="0" w:line="274" w:lineRule="auto"/>
      </w:pPr>
    </w:p>
    <w:p>
      <w:pPr>
        <w:keepNext/>
        <w:spacing w:after="60" w:before="180" w:line="274" w:lineRule="auto"/>
      </w:pPr>
      <w:r>
        <w:rPr>
          <w:rFonts w:ascii="Calibri" w:hAnsi="Calibri"/>
          <w:b/>
          <w:i w:val="0"/>
          <w:color w:val="1F2A44"/>
          <w:sz w:val="23"/>
        </w:rPr>
        <w:t>Approvals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2851"/>
        <w:gridCol w:w="4942"/>
        <w:gridCol w:w="1711"/>
      </w:tblGrid>
      <w:tr>
        <w:tc>
          <w:tcPr>
            <w:tcW w:type="dxa" w:w="285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Approver</w:t>
            </w:r>
          </w:p>
        </w:tc>
        <w:tc>
          <w:tcPr>
            <w:tcW w:type="dxa" w:w="4942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Approving</w:t>
            </w:r>
          </w:p>
        </w:tc>
        <w:tc>
          <w:tcPr>
            <w:tcW w:type="dxa" w:w="171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85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CEO Gregory Whitfield</w:t>
            </w:r>
          </w:p>
        </w:tc>
        <w:tc>
          <w:tcPr>
            <w:tcW w:type="dxa" w:w="494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the three-year strategic frame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________</w:t>
            </w:r>
          </w:p>
        </w:tc>
      </w:tr>
      <w:tr>
        <w:tc>
          <w:tcPr>
            <w:tcW w:type="dxa" w:w="285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CFO</w:t>
            </w:r>
          </w:p>
        </w:tc>
        <w:tc>
          <w:tcPr>
            <w:tcW w:type="dxa" w:w="4942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the financial commitments and the gate consequences</w:t>
            </w:r>
          </w:p>
        </w:tc>
        <w:tc>
          <w:tcPr>
            <w:tcW w:type="dxa" w:w="171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________</w:t>
            </w:r>
          </w:p>
        </w:tc>
      </w:tr>
    </w:tbl>
    <w:p>
      <w:pPr>
        <w:keepNext w:val="0"/>
        <w:spacing w:after="60" w:before="0" w:line="274" w:lineRule="auto"/>
      </w:pP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</w:pPr>
    <w:r>
      <w:rPr>
        <w:rFonts w:ascii="Calibri" w:hAnsi="Calibri"/>
        <w:color w:val="5B6472"/>
        <w:sz w:val="15"/>
      </w:rPr>
      <w:t xml:space="preserve">Internal · Confidential — Acme Corp synthetic demo data. Fictional; not for real decision-making.     </w:t>
    </w:r>
    <w:r>
      <w:rPr>
        <w:rFonts w:ascii="Calibri" w:hAnsi="Calibri"/>
        <w:b/>
        <w:color w:val="5B6472"/>
        <w:sz w:val="15"/>
      </w:rPr>
      <w:t>FY27–29 LRP narrative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Calibri" w:hAnsi="Calibri"/>
      <w:color w:val="2B2F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Three-Year Strategy Narrative</dc:title>
  <dc:subject/>
  <dc:creator>Acme Corp (synthetic)</dc:creator>
  <cp:keywords/>
  <dc:description>Internal strategy document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