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60" w:before="0" w:line="274" w:lineRule="auto"/>
      </w:pPr>
      <w:r>
        <w:rPr>
          <w:rFonts w:ascii="Calibri" w:hAnsi="Calibri"/>
          <w:b/>
          <w:i w:val="0"/>
          <w:color w:val="2E7D75"/>
          <w:sz w:val="19"/>
        </w:rPr>
        <w:t>REFORECAST MEMORANDUM</w:t>
      </w:r>
    </w:p>
    <w:p>
      <w:pPr>
        <w:keepNext w:val="0"/>
        <w:spacing w:after="120" w:before="0" w:line="259" w:lineRule="auto"/>
      </w:pPr>
      <w:r>
        <w:rPr>
          <w:rFonts w:ascii="Calibri" w:hAnsi="Calibri"/>
          <w:b/>
          <w:i w:val="0"/>
          <w:color w:val="1F2A44"/>
          <w:sz w:val="46"/>
        </w:rPr>
        <w:t>H2 FY2026 Reforecast — Memo to the Board</w:t>
      </w:r>
    </w:p>
    <w:p>
      <w:pPr>
        <w:keepNext w:val="0"/>
        <w:spacing w:after="160" w:before="0" w:line="288" w:lineRule="auto"/>
      </w:pPr>
      <w:r>
        <w:rPr>
          <w:rFonts w:ascii="Calibri" w:hAnsi="Calibri"/>
          <w:b w:val="0"/>
          <w:i w:val="0"/>
          <w:color w:val="5B6472"/>
          <w:sz w:val="26"/>
        </w:rPr>
        <w:t>What has changed since the FY26 plan was set, what we are reforecasting, and what we are not changing</w:t>
      </w:r>
    </w:p>
    <w:p>
      <w:pPr>
        <w:spacing w:after="120"/>
        <w:pBdr>
          <w:bottom w:val="single" w:sz="6" w:space="1" w:color="C9D2DB"/>
        </w:pBdr>
      </w:pPr>
    </w:p>
    <w:p>
      <w:pPr>
        <w:keepNext w:val="0"/>
        <w:spacing w:after="40" w:before="0" w:line="274" w:lineRule="auto"/>
      </w:pPr>
      <w:r>
        <w:rPr>
          <w:rFonts w:ascii="Calibri" w:hAnsi="Calibri"/>
          <w:b/>
          <w:i w:val="0"/>
          <w:color w:val="5B6472"/>
          <w:sz w:val="20"/>
        </w:rPr>
        <w:t>Finance &amp; FP&amp;A on behalf of the CFO</w:t>
      </w:r>
    </w:p>
    <w:p>
      <w:pPr>
        <w:keepNext w:val="0"/>
        <w:spacing w:after="2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To: Acme Corp Board of Directors</w:t>
      </w:r>
    </w:p>
    <w:p>
      <w:pPr>
        <w:keepNext w:val="0"/>
        <w:spacing w:after="2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Period: Q3–Q4 FY2026</w:t>
      </w:r>
    </w:p>
    <w:p>
      <w:pPr>
        <w:keepNext w:val="0"/>
        <w:spacing w:after="2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Companion deck: Report 44</w:t>
      </w:r>
    </w:p>
    <w:p>
      <w:pPr>
        <w:keepNext w:val="0"/>
        <w:spacing w:after="2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Version: v1 · July 2026</w:t>
      </w:r>
    </w:p>
    <w:p>
      <w:pPr>
        <w:keepNext w:val="0"/>
        <w:spacing w:after="20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Internal board memorandum · Internal · Confidential — synthetic demo data</w:t>
      </w:r>
    </w:p>
    <w:p>
      <w:pPr>
        <w:keepNext/>
        <w:spacing w:after="60" w:before="180" w:line="274" w:lineRule="auto"/>
      </w:pPr>
      <w:r>
        <w:rPr>
          <w:rFonts w:ascii="Calibri" w:hAnsi="Calibri"/>
          <w:b/>
          <w:i w:val="0"/>
          <w:color w:val="1F2A44"/>
          <w:sz w:val="23"/>
        </w:rPr>
        <w:t>At a glance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96" w:type="dxa"/>
          <w:bottom w:w="40" w:type="dxa"/>
          <w:right w:w="96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34"/>
              </w:rPr>
              <w:t>$379M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B6472"/>
                <w:sz w:val="16"/>
              </w:rPr>
              <w:t>H2 REFORECAST</w:t>
            </w:r>
          </w:p>
        </w:tc>
        <w:tc>
          <w:tcPr>
            <w:tcW w:type="dxa" w:w="2376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34"/>
              </w:rPr>
              <w:t>−0.8%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B6472"/>
                <w:sz w:val="16"/>
              </w:rPr>
              <w:t>VS ORIGINAL H2 PLAN</w:t>
            </w:r>
          </w:p>
        </w:tc>
        <w:tc>
          <w:tcPr>
            <w:tcW w:type="dxa" w:w="2376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34"/>
              </w:rPr>
              <w:t>-3.4%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B6472"/>
                <w:sz w:val="16"/>
              </w:rPr>
              <w:t>Q2 QTD VARIANCE</w:t>
            </w:r>
          </w:p>
        </w:tc>
        <w:tc>
          <w:tcPr>
            <w:tcW w:type="dxa" w:w="2376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34"/>
              </w:rPr>
              <w:t>−$1.4M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B6472"/>
                <w:sz w:val="16"/>
              </w:rPr>
              <w:t>NET RISK-ADJUSTED POSITION</w:t>
            </w:r>
          </w:p>
        </w:tc>
      </w:tr>
    </w:tbl>
    <w:p>
      <w:pPr>
        <w:keepNext w:val="0"/>
        <w:spacing w:after="80" w:before="0" w:line="274" w:lineRule="auto"/>
      </w:pP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SUMMARY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1 · The recommendation in one paragraph</w:t>
      </w:r>
    </w:p>
    <w:p>
      <w:pPr>
        <w:keepNext w:val="0"/>
        <w:spacing w:after="160" w:before="0" w:line="293" w:lineRule="auto"/>
      </w:pPr>
      <w:r>
        <w:rPr>
          <w:rFonts w:ascii="Calibri" w:hAnsi="Calibri"/>
          <w:b w:val="0"/>
          <w:i/>
          <w:color w:val="5B6472"/>
          <w:sz w:val="24"/>
        </w:rPr>
        <w:t>We are recommending an H2 reforecast of $379M and no change to the full-year commitment.</w:t>
      </w:r>
    </w:p>
    <w:p>
      <w:pPr>
        <w:keepNext w:val="0"/>
        <w:spacing w:after="120" w:before="0" w:line="274" w:lineRule="auto"/>
      </w:pPr>
      <w:r>
        <w:rPr>
          <w:rFonts w:ascii="Calibri" w:hAnsi="Calibri"/>
          <w:b w:val="0"/>
          <w:i w:val="0"/>
          <w:color w:val="2B2F38"/>
          <w:sz w:val="21"/>
        </w:rPr>
        <w:t>Through May, FY2026 has delivered $304.2M against $318.7M of plan. The monthly gap has narrowed from -5.4% in February to -3.4% in May as the ProteinPeak launch shipped. Holding May's run-rate and adding the two known H2 events — the August 15 Pack Refresh and a full quarter of ProteinPeak distribution — produces an H2 landing zone of $379M against $382M of original plan. The $3M gap is being held as a management risk rather than closed with promotional volume, which is the discipline the board asked for last cycle.</w:t>
      </w:r>
    </w:p>
    <w:p>
      <w:pPr>
        <w:spacing w:before="80" w:after="40"/>
      </w:pPr>
      <w:r>
        <w:drawing>
          <wp:inline xmlns:a="http://schemas.openxmlformats.org/drawingml/2006/main" xmlns:pic="http://schemas.openxmlformats.org/drawingml/2006/picture">
            <wp:extent cx="6035040" cy="23747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63_mon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74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 w:before="0" w:line="274" w:lineRule="auto"/>
      </w:pPr>
      <w:r>
        <w:rPr>
          <w:rFonts w:ascii="Calibri" w:hAnsi="Calibri"/>
          <w:b w:val="0"/>
          <w:i/>
          <w:color w:val="5B6472"/>
          <w:sz w:val="17"/>
        </w:rPr>
        <w:t>The gap narrows every month from February onward. The reforecast assumes it holds rather than continues to close.</w:t>
      </w: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METHOD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2 · How the number was built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Base:</w:t>
      </w:r>
      <w:r>
        <w:rPr>
          <w:rFonts w:ascii="Calibri" w:hAnsi="Calibri"/>
          <w:b w:val="0"/>
          <w:i w:val="0"/>
          <w:color w:val="2B2F38"/>
          <w:sz w:val="21"/>
        </w:rPr>
        <w:t xml:space="preserve"> May 2026 actual of $61.6M per month, held flat.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Plus</w:t>
      </w:r>
      <w:r>
        <w:rPr>
          <w:rFonts w:ascii="Calibri" w:hAnsi="Calibri"/>
          <w:b w:val="0"/>
          <w:i w:val="0"/>
          <w:color w:val="2B2F38"/>
          <w:sz w:val="21"/>
        </w:rPr>
        <w:t xml:space="preserve"> Pack Refresh pipeline fill in Q3 and consumption in Q4.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Plus</w:t>
      </w:r>
      <w:r>
        <w:rPr>
          <w:rFonts w:ascii="Calibri" w:hAnsi="Calibri"/>
          <w:b w:val="0"/>
          <w:i w:val="0"/>
          <w:color w:val="2B2F38"/>
          <w:sz w:val="21"/>
        </w:rPr>
        <w:t xml:space="preserve"> a full quarter of ProteinPeak distribution at current velocities.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Less</w:t>
      </w:r>
      <w:r>
        <w:rPr>
          <w:rFonts w:ascii="Calibri" w:hAnsi="Calibri"/>
          <w:b w:val="0"/>
          <w:i w:val="0"/>
          <w:color w:val="2B2F38"/>
          <w:sz w:val="21"/>
        </w:rPr>
        <w:t xml:space="preserve"> the three HoneyNest and RootDay SKUs discontinued in Q3.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Less</w:t>
      </w:r>
      <w:r>
        <w:rPr>
          <w:rFonts w:ascii="Calibri" w:hAnsi="Calibri"/>
          <w:b w:val="0"/>
          <w:i w:val="0"/>
          <w:color w:val="2B2F38"/>
          <w:sz w:val="21"/>
        </w:rPr>
        <w:t xml:space="preserve"> supply phasing during the Pack Refresh changeover in weeks 33–35.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No assumption</w:t>
      </w:r>
      <w:r>
        <w:rPr>
          <w:rFonts w:ascii="Calibri" w:hAnsi="Calibri"/>
          <w:b w:val="0"/>
          <w:i w:val="0"/>
          <w:color w:val="2B2F38"/>
          <w:sz w:val="21"/>
        </w:rPr>
        <w:t xml:space="preserve"> of Louisiana share recovery beyond the ~35 basis points already measured.</w:t>
      </w:r>
    </w:p>
    <w:p>
      <w:pPr>
        <w:keepNext w:val="0"/>
        <w:spacing w:after="40" w:before="0" w:line="274" w:lineRule="auto"/>
      </w:pP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6843"/>
        <w:gridCol w:w="2661"/>
      </w:tblGrid>
      <w:tr>
        <w:tc>
          <w:tcPr>
            <w:tcW w:type="dxa" w:w="6843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266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H2 $M</w:t>
            </w:r>
          </w:p>
        </w:tc>
      </w:tr>
      <w:tr>
        <w:tc>
          <w:tcPr>
            <w:tcW w:type="dxa" w:w="6843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Unconstrained demand forecast</w:t>
            </w:r>
          </w:p>
        </w:tc>
        <w:tc>
          <w:tcPr>
            <w:tcW w:type="dxa" w:w="266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384.0</w:t>
            </w:r>
          </w:p>
        </w:tc>
      </w:tr>
      <w:tr>
        <w:tc>
          <w:tcPr>
            <w:tcW w:type="dxa" w:w="6843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Less: Pack Refresh changeover phasing</w:t>
            </w:r>
          </w:p>
        </w:tc>
        <w:tc>
          <w:tcPr>
            <w:tcW w:type="dxa" w:w="266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−2.5</w:t>
            </w:r>
          </w:p>
        </w:tc>
      </w:tr>
      <w:tr>
        <w:tc>
          <w:tcPr>
            <w:tcW w:type="dxa" w:w="6843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Less: ProteinPeak allocation at Walmart</w:t>
            </w:r>
          </w:p>
        </w:tc>
        <w:tc>
          <w:tcPr>
            <w:tcW w:type="dxa" w:w="266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−1.5</w:t>
            </w:r>
          </w:p>
        </w:tc>
      </w:tr>
      <w:tr>
        <w:tc>
          <w:tcPr>
            <w:tcW w:type="dxa" w:w="6843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Less: HoneyNest and RootDay discontinuations</w:t>
            </w:r>
          </w:p>
        </w:tc>
        <w:tc>
          <w:tcPr>
            <w:tcW w:type="dxa" w:w="266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−1.6</w:t>
            </w:r>
          </w:p>
        </w:tc>
      </w:tr>
      <w:tr>
        <w:tc>
          <w:tcPr>
            <w:tcW w:type="dxa" w:w="6843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Plus: retail-media reallocation upside</w:t>
            </w:r>
          </w:p>
        </w:tc>
        <w:tc>
          <w:tcPr>
            <w:tcW w:type="dxa" w:w="266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+0.6</w:t>
            </w:r>
          </w:p>
        </w:tc>
      </w:tr>
      <w:tr>
        <w:tc>
          <w:tcPr>
            <w:tcW w:type="dxa" w:w="6843"/>
            <w:shd w:val="clear" w:color="auto" w:fill="EAEEF2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2B2F38"/>
                <w:sz w:val="19"/>
              </w:rPr>
              <w:t>H2 reforecast</w:t>
            </w:r>
          </w:p>
        </w:tc>
        <w:tc>
          <w:tcPr>
            <w:tcW w:type="dxa" w:w="2661"/>
            <w:shd w:val="clear" w:color="auto" w:fill="EAEEF2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2B2F38"/>
                <w:sz w:val="19"/>
              </w:rPr>
              <w:t>379.0</w:t>
            </w:r>
          </w:p>
        </w:tc>
      </w:tr>
    </w:tbl>
    <w:p>
      <w:pPr>
        <w:keepNext w:val="0"/>
        <w:spacing w:after="60" w:before="0" w:line="274" w:lineRule="auto"/>
      </w:pPr>
    </w:p>
    <w:p>
      <w:pPr>
        <w:keepNext w:val="0"/>
        <w:spacing w:after="160" w:before="0" w:line="274" w:lineRule="auto"/>
      </w:pPr>
      <w:r>
        <w:rPr>
          <w:rFonts w:ascii="Calibri" w:hAnsi="Calibri"/>
          <w:b w:val="0"/>
          <w:i/>
          <w:color w:val="5B6472"/>
          <w:sz w:val="16"/>
        </w:rPr>
        <w:t>Source: Reconciliation agreed in the July S&amp;OP cycle (Report 72).</w:t>
      </w: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LEDGER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3 · Risks and opportunities behind the number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3612"/>
        <w:gridCol w:w="1236"/>
        <w:gridCol w:w="1426"/>
        <w:gridCol w:w="1426"/>
        <w:gridCol w:w="1806"/>
      </w:tblGrid>
      <w:tr>
        <w:tc>
          <w:tcPr>
            <w:tcW w:type="dxa" w:w="3612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Item</w:t>
            </w:r>
          </w:p>
        </w:tc>
        <w:tc>
          <w:tcPr>
            <w:tcW w:type="dxa" w:w="1236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Type</w:t>
            </w:r>
          </w:p>
        </w:tc>
        <w:tc>
          <w:tcPr>
            <w:tcW w:type="dxa" w:w="1426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H2 impact</w:t>
            </w:r>
          </w:p>
        </w:tc>
        <w:tc>
          <w:tcPr>
            <w:tcW w:type="dxa" w:w="1426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Probability</w:t>
            </w:r>
          </w:p>
        </w:tc>
        <w:tc>
          <w:tcPr>
            <w:tcW w:type="dxa" w:w="1806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361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Pack Refresh on-shelf Aug 15 as planned</w:t>
            </w:r>
          </w:p>
        </w:tc>
        <w:tc>
          <w:tcPr>
            <w:tcW w:type="dxa" w:w="1236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Opportunity</w:t>
            </w:r>
          </w:p>
        </w:tc>
        <w:tc>
          <w:tcPr>
            <w:tcW w:type="dxa" w:w="1426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+$6.0M</w:t>
            </w:r>
          </w:p>
        </w:tc>
        <w:tc>
          <w:tcPr>
            <w:tcW w:type="dxa" w:w="1426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High</w:t>
            </w:r>
          </w:p>
        </w:tc>
        <w:tc>
          <w:tcPr>
            <w:tcW w:type="dxa" w:w="1806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Cory Whitman</w:t>
            </w:r>
          </w:p>
        </w:tc>
      </w:tr>
      <w:tr>
        <w:tc>
          <w:tcPr>
            <w:tcW w:type="dxa" w:w="3612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Walmart ProteinPeak full-line authorisation</w:t>
            </w:r>
          </w:p>
        </w:tc>
        <w:tc>
          <w:tcPr>
            <w:tcW w:type="dxa" w:w="1236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Opportunity</w:t>
            </w:r>
          </w:p>
        </w:tc>
        <w:tc>
          <w:tcPr>
            <w:tcW w:type="dxa" w:w="1426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+$4.5M</w:t>
            </w:r>
          </w:p>
        </w:tc>
        <w:tc>
          <w:tcPr>
            <w:tcW w:type="dxa" w:w="1426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Medium</w:t>
            </w:r>
          </w:p>
        </w:tc>
        <w:tc>
          <w:tcPr>
            <w:tcW w:type="dxa" w:w="1806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Marcus Boudreaux</w:t>
            </w:r>
          </w:p>
        </w:tc>
      </w:tr>
      <w:tr>
        <w:tc>
          <w:tcPr>
            <w:tcW w:type="dxa" w:w="361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Retail-media reallocation</w:t>
            </w:r>
          </w:p>
        </w:tc>
        <w:tc>
          <w:tcPr>
            <w:tcW w:type="dxa" w:w="1236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Opportunity</w:t>
            </w:r>
          </w:p>
        </w:tc>
        <w:tc>
          <w:tcPr>
            <w:tcW w:type="dxa" w:w="1426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+$1.6M</w:t>
            </w:r>
          </w:p>
        </w:tc>
        <w:tc>
          <w:tcPr>
            <w:tcW w:type="dxa" w:w="1426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High</w:t>
            </w:r>
          </w:p>
        </w:tc>
        <w:tc>
          <w:tcPr>
            <w:tcW w:type="dxa" w:w="1806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Tasha Brooks</w:t>
            </w:r>
          </w:p>
        </w:tc>
      </w:tr>
      <w:tr>
        <w:tc>
          <w:tcPr>
            <w:tcW w:type="dxa" w:w="3612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Larksfield 14g line takes protein share</w:t>
            </w:r>
          </w:p>
        </w:tc>
        <w:tc>
          <w:tcPr>
            <w:tcW w:type="dxa" w:w="1236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Risk</w:t>
            </w:r>
          </w:p>
        </w:tc>
        <w:tc>
          <w:tcPr>
            <w:tcW w:type="dxa" w:w="1426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−$3.5M</w:t>
            </w:r>
          </w:p>
        </w:tc>
        <w:tc>
          <w:tcPr>
            <w:tcW w:type="dxa" w:w="1426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Medium</w:t>
            </w:r>
          </w:p>
        </w:tc>
        <w:tc>
          <w:tcPr>
            <w:tcW w:type="dxa" w:w="1806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Sage Park</w:t>
            </w:r>
          </w:p>
        </w:tc>
      </w:tr>
      <w:tr>
        <w:tc>
          <w:tcPr>
            <w:tcW w:type="dxa" w:w="361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Louisiana recovery stalls at 3.0%</w:t>
            </w:r>
          </w:p>
        </w:tc>
        <w:tc>
          <w:tcPr>
            <w:tcW w:type="dxa" w:w="1236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Risk</w:t>
            </w:r>
          </w:p>
        </w:tc>
        <w:tc>
          <w:tcPr>
            <w:tcW w:type="dxa" w:w="1426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−$2.5M</w:t>
            </w:r>
          </w:p>
        </w:tc>
        <w:tc>
          <w:tcPr>
            <w:tcW w:type="dxa" w:w="1426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Medium</w:t>
            </w:r>
          </w:p>
        </w:tc>
        <w:tc>
          <w:tcPr>
            <w:tcW w:type="dxa" w:w="1806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Marcus Boudreaux</w:t>
            </w:r>
          </w:p>
        </w:tc>
      </w:tr>
      <w:tr>
        <w:tc>
          <w:tcPr>
            <w:tcW w:type="dxa" w:w="3612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Pack Refresh slips to Q4</w:t>
            </w:r>
          </w:p>
        </w:tc>
        <w:tc>
          <w:tcPr>
            <w:tcW w:type="dxa" w:w="1236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Risk</w:t>
            </w:r>
          </w:p>
        </w:tc>
        <w:tc>
          <w:tcPr>
            <w:tcW w:type="dxa" w:w="1426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−$6.0M</w:t>
            </w:r>
          </w:p>
        </w:tc>
        <w:tc>
          <w:tcPr>
            <w:tcW w:type="dxa" w:w="1426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Low</w:t>
            </w:r>
          </w:p>
        </w:tc>
        <w:tc>
          <w:tcPr>
            <w:tcW w:type="dxa" w:w="1806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Cory Whitman</w:t>
            </w:r>
          </w:p>
        </w:tc>
      </w:tr>
      <w:tr>
        <w:tc>
          <w:tcPr>
            <w:tcW w:type="dxa" w:w="361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H-E-B Cinnamon Twist delist</w:t>
            </w:r>
          </w:p>
        </w:tc>
        <w:tc>
          <w:tcPr>
            <w:tcW w:type="dxa" w:w="1236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Risk</w:t>
            </w:r>
          </w:p>
        </w:tc>
        <w:tc>
          <w:tcPr>
            <w:tcW w:type="dxa" w:w="1426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−$1.8M</w:t>
            </w:r>
          </w:p>
        </w:tc>
        <w:tc>
          <w:tcPr>
            <w:tcW w:type="dxa" w:w="1426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Medium</w:t>
            </w:r>
          </w:p>
        </w:tc>
        <w:tc>
          <w:tcPr>
            <w:tcW w:type="dxa" w:w="1806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Marcus Boudreaux</w:t>
            </w:r>
          </w:p>
        </w:tc>
      </w:tr>
      <w:tr>
        <w:tc>
          <w:tcPr>
            <w:tcW w:type="dxa" w:w="3612"/>
            <w:shd w:val="clear" w:color="auto" w:fill="EAEEF2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2B2F38"/>
                <w:sz w:val="18"/>
              </w:rPr>
              <w:t>Net risk-adjusted position</w:t>
            </w:r>
          </w:p>
        </w:tc>
        <w:tc>
          <w:tcPr>
            <w:tcW w:type="dxa" w:w="1236"/>
            <w:shd w:val="clear" w:color="auto" w:fill="EAEEF2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2B2F38"/>
                <w:sz w:val="18"/>
              </w:rPr>
              <w:t>Net</w:t>
            </w:r>
          </w:p>
        </w:tc>
        <w:tc>
          <w:tcPr>
            <w:tcW w:type="dxa" w:w="1426"/>
            <w:shd w:val="clear" w:color="auto" w:fill="EAEEF2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2B2F38"/>
                <w:sz w:val="18"/>
              </w:rPr>
              <w:t>−$1.4M</w:t>
            </w:r>
          </w:p>
        </w:tc>
        <w:tc>
          <w:tcPr>
            <w:tcW w:type="dxa" w:w="1426"/>
            <w:shd w:val="clear" w:color="auto" w:fill="EAEEF2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2B2F38"/>
                <w:sz w:val="18"/>
              </w:rPr>
              <w:t>—</w:t>
            </w:r>
          </w:p>
        </w:tc>
        <w:tc>
          <w:tcPr>
            <w:tcW w:type="dxa" w:w="1806"/>
            <w:shd w:val="clear" w:color="auto" w:fill="EAEEF2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2B2F38"/>
                <w:sz w:val="18"/>
              </w:rPr>
              <w:t>Finance</w:t>
            </w:r>
          </w:p>
        </w:tc>
      </w:tr>
    </w:tbl>
    <w:p>
      <w:pPr>
        <w:keepNext w:val="0"/>
        <w:spacing w:after="60" w:before="0" w:line="274" w:lineRule="auto"/>
      </w:pPr>
    </w:p>
    <w:p>
      <w:pPr>
        <w:keepNext w:val="0"/>
        <w:spacing w:after="160" w:before="0" w:line="274" w:lineRule="auto"/>
      </w:pPr>
      <w:r>
        <w:rPr>
          <w:rFonts w:ascii="Calibri" w:hAnsi="Calibri"/>
          <w:b w:val="0"/>
          <w:i/>
          <w:color w:val="5B6472"/>
          <w:sz w:val="16"/>
        </w:rPr>
        <w:t>Source: seeds/innovation_pipeline.csv, seed_competitor_launches, seed_heb_cinnamon_twist_delist_risk. Dollar impacts are planning estimates.</w:t>
      </w: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NOT CHANGING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4 · What we are deliberately not reforecasting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The full-year revenue commitment.</w:t>
      </w:r>
      <w:r>
        <w:rPr>
          <w:rFonts w:ascii="Calibri" w:hAnsi="Calibri"/>
          <w:b w:val="0"/>
          <w:i w:val="0"/>
          <w:color w:val="2B2F38"/>
          <w:sz w:val="21"/>
        </w:rPr>
        <w:t xml:space="preserve"> The shortfall is being reallocated between quarters, not removed from the year.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The FY26 A&amp;P envelope.</w:t>
      </w:r>
      <w:r>
        <w:rPr>
          <w:rFonts w:ascii="Calibri" w:hAnsi="Calibri"/>
          <w:b w:val="0"/>
          <w:i w:val="0"/>
          <w:color w:val="2B2F38"/>
          <w:sz w:val="21"/>
        </w:rPr>
        <w:t xml:space="preserve"> We are not funding the gap by cutting marketing; the media reallocation is inside the existing envelope (Report 74).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The 16% FY28 EBITDA commitment.</w:t>
      </w:r>
      <w:r>
        <w:rPr>
          <w:rFonts w:ascii="Calibri" w:hAnsi="Calibri"/>
          <w:b w:val="0"/>
          <w:i w:val="0"/>
          <w:color w:val="2B2F38"/>
          <w:sz w:val="21"/>
        </w:rPr>
        <w:t xml:space="preserve"> Nothing in the H2 picture changes the three-year margin path.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The trade budget.</w:t>
      </w:r>
      <w:r>
        <w:rPr>
          <w:rFonts w:ascii="Calibri" w:hAnsi="Calibri"/>
          <w:b w:val="0"/>
          <w:i w:val="0"/>
          <w:color w:val="2B2F38"/>
          <w:sz w:val="21"/>
        </w:rPr>
        <w:t xml:space="preserve"> We are changing the mix of events, not the total.</w:t>
      </w:r>
    </w:p>
    <w:p>
      <w:pPr>
        <w:keepNext w:val="0"/>
        <w:spacing w:after="40" w:before="0" w:line="274" w:lineRule="auto"/>
      </w:pPr>
    </w:p>
    <w:tbl>
      <w:tblPr>
        <w:tblW w:w="9504" w:type="dxa"/>
        <w:tblBorders>
          <w:top w:val="none"/>
          <w:left w:val="single" w:sz="24" w:color="B98A2E"/>
          <w:bottom w:val="none"/>
          <w:right w:val="none"/>
          <w:insideH w:val="none"/>
          <w:insideV w:val="none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21"/>
              </w:rPr>
              <w:t>The one thing we are asking the board to note</w:t>
            </w:r>
          </w:p>
          <w:p>
            <w:pPr>
              <w:spacing w:after="40" w:line="274" w:lineRule="auto"/>
            </w:pPr>
            <w:r>
              <w:rPr>
                <w:rFonts w:ascii="Calibri" w:hAnsi="Calibri"/>
                <w:b w:val="0"/>
                <w:i w:val="0"/>
                <w:color w:val="2B2F38"/>
                <w:sz w:val="20"/>
              </w:rPr>
              <w:t>Two of the three largest H2 opportunities — the retail-media reallocation and the Walmart protein authorisation — are within our control. If we deliver both, the H2 number is closer to $385M than $379M. The reforecast deliberately does not assume our own execution.</w:t>
            </w:r>
          </w:p>
        </w:tc>
      </w:tr>
    </w:tbl>
    <w:p>
      <w:pPr>
        <w:keepNext w:val="0"/>
        <w:spacing w:after="80" w:before="0" w:line="274" w:lineRule="auto"/>
      </w:pPr>
    </w:p>
    <w:p>
      <w:pPr>
        <w:keepNext/>
        <w:spacing w:after="60" w:before="180" w:line="274" w:lineRule="auto"/>
      </w:pPr>
      <w:r>
        <w:rPr>
          <w:rFonts w:ascii="Calibri" w:hAnsi="Calibri"/>
          <w:b/>
          <w:i w:val="0"/>
          <w:color w:val="1F2A44"/>
          <w:sz w:val="23"/>
        </w:rPr>
        <w:t>Risks &amp; mitigations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2281"/>
        <w:gridCol w:w="1901"/>
        <w:gridCol w:w="3612"/>
        <w:gridCol w:w="1711"/>
      </w:tblGrid>
      <w:tr>
        <w:tc>
          <w:tcPr>
            <w:tcW w:type="dxa" w:w="228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190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Impact</w:t>
            </w:r>
          </w:p>
        </w:tc>
        <w:tc>
          <w:tcPr>
            <w:tcW w:type="dxa" w:w="3612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Mitigation</w:t>
            </w:r>
          </w:p>
        </w:tc>
        <w:tc>
          <w:tcPr>
            <w:tcW w:type="dxa" w:w="171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228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Pack Refresh slips past Aug 15</w:t>
            </w:r>
          </w:p>
        </w:tc>
        <w:tc>
          <w:tcPr>
            <w:tcW w:type="dxa" w:w="190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−$6.0M H2, LA recovery loses anchor</w:t>
            </w:r>
          </w:p>
        </w:tc>
        <w:tc>
          <w:tcPr>
            <w:tcW w:type="dxa" w:w="361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Weekly stage-gate from Jul 15; Q4 fallback plan agreed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Cory Whitman</w:t>
            </w:r>
          </w:p>
        </w:tc>
      </w:tr>
      <w:tr>
        <w:tc>
          <w:tcPr>
            <w:tcW w:type="dxa" w:w="228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2026 hurricane season repeats Nov 2025</w:t>
            </w:r>
          </w:p>
        </w:tc>
        <w:tc>
          <w:tcPr>
            <w:tcW w:type="dxa" w:w="190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Service-driven share loss in the South</w:t>
            </w:r>
          </w:p>
        </w:tc>
        <w:tc>
          <w:tcPr>
            <w:tcW w:type="dxa" w:w="3612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Pre-positioned inventory at Houston and Tyler from week 32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VP Supply Chain</w:t>
            </w:r>
          </w:p>
        </w:tc>
      </w:tr>
      <w:tr>
        <w:tc>
          <w:tcPr>
            <w:tcW w:type="dxa" w:w="228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Larksfield escalates on both protein and Louisiana</w:t>
            </w:r>
          </w:p>
        </w:tc>
        <w:tc>
          <w:tcPr>
            <w:tcW w:type="dxa" w:w="190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Slower recovery on two fronts at once</w:t>
            </w:r>
          </w:p>
        </w:tc>
        <w:tc>
          <w:tcPr>
            <w:tcW w:type="dxa" w:w="361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Chocolate Almond into Q4 line reviews; LA media injection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Sage Park / Marcus Boudreaux</w:t>
            </w:r>
          </w:p>
        </w:tc>
      </w:tr>
    </w:tbl>
    <w:p>
      <w:pPr>
        <w:keepNext w:val="0"/>
        <w:spacing w:after="60" w:before="0" w:line="274" w:lineRule="auto"/>
      </w:pPr>
    </w:p>
    <w:p>
      <w:pPr>
        <w:keepNext/>
        <w:spacing w:after="60" w:before="180" w:line="274" w:lineRule="auto"/>
      </w:pPr>
      <w:r>
        <w:rPr>
          <w:rFonts w:ascii="Calibri" w:hAnsi="Calibri"/>
          <w:b/>
          <w:i w:val="0"/>
          <w:color w:val="1F2A44"/>
          <w:sz w:val="23"/>
        </w:rPr>
        <w:t>Recommendations &amp; next steps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475"/>
        <w:gridCol w:w="5227"/>
        <w:gridCol w:w="2281"/>
        <w:gridCol w:w="1521"/>
      </w:tblGrid>
      <w:tr>
        <w:tc>
          <w:tcPr>
            <w:tcW w:type="dxa" w:w="475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5227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228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152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When</w:t>
            </w:r>
          </w:p>
        </w:tc>
      </w:tr>
      <w:tr>
        <w:tc>
          <w:tcPr>
            <w:tcW w:type="dxa" w:w="475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1</w:t>
            </w:r>
          </w:p>
        </w:tc>
        <w:tc>
          <w:tcPr>
            <w:tcW w:type="dxa" w:w="5227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Note the H2 reforecast of $379M and the unchanged full-year commitment</w:t>
            </w:r>
          </w:p>
        </w:tc>
        <w:tc>
          <w:tcPr>
            <w:tcW w:type="dxa" w:w="228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Board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July 2026</w:t>
            </w:r>
          </w:p>
        </w:tc>
      </w:tr>
      <w:tr>
        <w:tc>
          <w:tcPr>
            <w:tcW w:type="dxa" w:w="475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2</w:t>
            </w:r>
          </w:p>
        </w:tc>
        <w:tc>
          <w:tcPr>
            <w:tcW w:type="dxa" w:w="5227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Approve the $700K retail-media reallocation</w:t>
            </w:r>
          </w:p>
        </w:tc>
        <w:tc>
          <w:tcPr>
            <w:tcW w:type="dxa" w:w="228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CFO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By Aug 1</w:t>
            </w:r>
          </w:p>
        </w:tc>
      </w:tr>
      <w:tr>
        <w:tc>
          <w:tcPr>
            <w:tcW w:type="dxa" w:w="475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3</w:t>
            </w:r>
          </w:p>
        </w:tc>
        <w:tc>
          <w:tcPr>
            <w:tcW w:type="dxa" w:w="5227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Note the four items we are deliberately not reforecasting</w:t>
            </w:r>
          </w:p>
        </w:tc>
        <w:tc>
          <w:tcPr>
            <w:tcW w:type="dxa" w:w="228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Board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July 2026</w:t>
            </w:r>
          </w:p>
        </w:tc>
      </w:tr>
    </w:tbl>
    <w:p>
      <w:pPr>
        <w:keepNext w:val="0"/>
        <w:spacing w:after="60" w:before="0" w:line="274" w:lineRule="auto"/>
      </w:pP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</w:pPr>
    <w:r>
      <w:rPr>
        <w:rFonts w:ascii="Calibri" w:hAnsi="Calibri"/>
        <w:color w:val="5B6472"/>
        <w:sz w:val="15"/>
      </w:rPr>
      <w:t xml:space="preserve">Internal · Confidential — Acme Corp synthetic demo data. Fictional; not for real decision-making.     </w:t>
    </w:r>
    <w:r>
      <w:rPr>
        <w:rFonts w:ascii="Calibri" w:hAnsi="Calibri"/>
        <w:b/>
        <w:color w:val="5B6472"/>
        <w:sz w:val="15"/>
      </w:rPr>
      <w:t>H2 FY26 reforecast memo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Calibri" w:hAnsi="Calibri"/>
      <w:color w:val="2B2F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H2 FY2026 Reforecast — Memo to the Board</dc:title>
  <dc:subject/>
  <dc:creator>Acme Corp (synthetic)</dc:creator>
  <cp:keywords/>
  <dc:description>Internal board memorandum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