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 w:line="274" w:lineRule="auto"/>
      </w:pPr>
      <w:r>
        <w:rPr>
          <w:rFonts w:ascii="Calibri" w:hAnsi="Calibri"/>
          <w:b/>
          <w:i w:val="0"/>
          <w:color w:val="2E7D75"/>
          <w:sz w:val="19"/>
        </w:rPr>
        <w:t>BRAND PLAN NARRATIVE · FY2027</w:t>
      </w:r>
    </w:p>
    <w:p>
      <w:pPr>
        <w:keepNext w:val="0"/>
        <w:spacing w:after="120" w:before="0" w:line="259" w:lineRule="auto"/>
      </w:pPr>
      <w:r>
        <w:rPr>
          <w:rFonts w:ascii="Calibri" w:hAnsi="Calibri"/>
          <w:b/>
          <w:i w:val="0"/>
          <w:color w:val="1F2A44"/>
          <w:sz w:val="46"/>
        </w:rPr>
        <w:t>ProteinPeak FY2027 Plan and Innovation Roadmap</w:t>
      </w:r>
    </w:p>
    <w:p>
      <w:pPr>
        <w:keepNext w:val="0"/>
        <w:spacing w:after="160" w:before="0" w:line="288" w:lineRule="auto"/>
      </w:pPr>
      <w:r>
        <w:rPr>
          <w:rFonts w:ascii="Calibri" w:hAnsi="Calibri"/>
          <w:b w:val="0"/>
          <w:i w:val="0"/>
          <w:color w:val="5B6472"/>
          <w:sz w:val="26"/>
        </w:rPr>
        <w:t>A brand with a structural tailwind, a proven launch and a distribution problem at the two largest retailers in America</w:t>
      </w:r>
    </w:p>
    <w:p>
      <w:pPr>
        <w:spacing w:after="120"/>
        <w:pBdr>
          <w:bottom w:val="single" w:sz="6" w:space="1" w:color="C9D2DB"/>
        </w:pBdr>
      </w:pPr>
    </w:p>
    <w:p>
      <w:pPr>
        <w:keepNext w:val="0"/>
        <w:spacing w:after="40" w:before="0" w:line="274" w:lineRule="auto"/>
      </w:pPr>
      <w:r>
        <w:rPr>
          <w:rFonts w:ascii="Calibri" w:hAnsi="Calibri"/>
          <w:b/>
          <w:i w:val="0"/>
          <w:color w:val="5B6472"/>
          <w:sz w:val="20"/>
        </w:rPr>
        <w:t>Sage Park, Brand Director — ProteinPeak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Period: FY2027, with a roadmap to FY2029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Companion deck: Report 48</w:t>
      </w:r>
    </w:p>
    <w:p>
      <w:pPr>
        <w:keepNext w:val="0"/>
        <w:spacing w:after="2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Version: v1 · July 2026</w:t>
      </w:r>
    </w:p>
    <w:p>
      <w:pPr>
        <w:keepNext w:val="0"/>
        <w:spacing w:after="200" w:before="0" w:line="274" w:lineRule="auto"/>
      </w:pPr>
      <w:r>
        <w:rPr>
          <w:rFonts w:ascii="Calibri" w:hAnsi="Calibri"/>
          <w:b w:val="0"/>
          <w:i w:val="0"/>
          <w:color w:val="5B6472"/>
          <w:sz w:val="19"/>
        </w:rPr>
        <w:t>Internal brand plan · Internal · Confidential — synthetic demo data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At a glance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96" w:type="dxa"/>
          <w:bottom w:w="40" w:type="dxa"/>
          <w:right w:w="96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+18.6%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SEGMENT GROWTH Q2 QTD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8.4%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ACME SEGMENT SHARE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53%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LAUNCH VOLUME NEW TO BRAND</w:t>
            </w:r>
          </w:p>
        </w:tc>
        <w:tc>
          <w:tcPr>
            <w:tcW w:type="dxa" w:w="2376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34"/>
              </w:rPr>
              <w:t>$100M</w:t>
            </w:r>
          </w:p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5B6472"/>
                <w:sz w:val="16"/>
              </w:rPr>
              <w:t>FY27 REVENUE TARGET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OPPORTUNITY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1 · The only brand in the house with a tailwind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Wellness Protein grew +18.3% to $3M in FY2025 and is running +18.6% in Q2 FY2026. Acme's share of the segment moved from 7.6% to 8.4% on the back of the April 20 launch of Cinnamon Crunch (PP005) and Cocoa Almond (PP006). Every other brand in the portfolio is fighting its segment; this one is being carried by it.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Monthly performance tells the story cleanly. Q1 ran about $4.33M per month against a $5.80M plan — a deliberate pre-launch draw-down at -25.4%. April and May ran about $5.45M at -6.1%. The trough was planned; the recovery is real.</w:t>
      </w: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035040" cy="23580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7_pv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58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7"/>
        </w:rPr>
        <w:t>The Q1 trough is the pre-launch pipeline draw-down. April and May are the first months of the new base.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LAUNCH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2 · What the first four weeks told us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Trial ran 110–113% of plan at Target</w:t>
      </w:r>
      <w:r>
        <w:rPr>
          <w:rFonts w:ascii="Calibri" w:hAnsi="Calibri"/>
          <w:b w:val="0"/>
          <w:i w:val="0"/>
          <w:color w:val="2B2F38"/>
          <w:sz w:val="21"/>
        </w:rPr>
        <w:t xml:space="preserve"> and 77–78% at the Walmart pilot. Same items, same price, different shelf.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Velocity was 17.5 units per store per week at Target</w:t>
      </w:r>
      <w:r>
        <w:rPr>
          <w:rFonts w:ascii="Calibri" w:hAnsi="Calibri"/>
          <w:b w:val="0"/>
          <w:i w:val="0"/>
          <w:color w:val="2B2F38"/>
          <w:sz w:val="21"/>
        </w:rPr>
        <w:t xml:space="preserve"> against 9.2 at Walmart — the difference is an endcap and Roundel support, not assortment.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53% of volume was new to Acme</w:t>
      </w:r>
      <w:r>
        <w:rPr>
          <w:rFonts w:ascii="Calibri" w:hAnsi="Calibri"/>
          <w:b w:val="0"/>
          <w:i w:val="0"/>
          <w:color w:val="2B2F38"/>
          <w:sz w:val="21"/>
        </w:rPr>
        <w:t>, with 32% cannibalisation of the existing ProteinPeak line and 15% taken from competitors. That is a healthy line-extension profile.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Week-2 repeat ran 1.2 times the Berry Crunch archive</w:t>
      </w:r>
      <w:r>
        <w:rPr>
          <w:rFonts w:ascii="Calibri" w:hAnsi="Calibri"/>
          <w:b w:val="0"/>
          <w:i w:val="0"/>
          <w:color w:val="2B2F38"/>
          <w:sz w:val="21"/>
        </w:rPr>
        <w:t xml:space="preserve"> — the cleanest available signal that the product delivers against the claim.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Social sentiment is +0.44</w:t>
      </w:r>
      <w:r>
        <w:rPr>
          <w:rFonts w:ascii="Calibri" w:hAnsi="Calibri"/>
          <w:b w:val="0"/>
          <w:i w:val="0"/>
          <w:color w:val="2B2F38"/>
          <w:sz w:val="21"/>
        </w:rPr>
        <w:t xml:space="preserve"> on about 496 mentions, the strongest in the portfolio.</w:t>
      </w:r>
    </w:p>
    <w:p>
      <w:pPr>
        <w:keepNext w:val="0"/>
        <w:spacing w:after="4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CONSTRAINT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3 · We are under-distributed where the volume is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Acme holds 18.4% of Wellness Protein at Target and 5.2% at Walmart. Walmart is more than twice Target's size for Acme overall. The gap is not demand, price or product — it is assortment and merchandising.</w:t>
      </w: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035040" cy="2398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7_retail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398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7"/>
        </w:rPr>
        <w:t>The same assortment performs three times better at one retailer than the other.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3231"/>
        <w:gridCol w:w="1521"/>
        <w:gridCol w:w="1521"/>
        <w:gridCol w:w="1711"/>
        <w:gridCol w:w="1521"/>
      </w:tblGrid>
      <w:tr>
        <w:tc>
          <w:tcPr>
            <w:tcW w:type="dxa" w:w="32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SKU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Shelf price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National ACV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FY25 revenue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Vanilla Almond Original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$7.49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54%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$25.0M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Active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Chocolate Hazelnut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$7.49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42%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$11.5M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Active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Single-Serve Cups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$9.99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18%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$6.3M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Active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Berry Crunch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$7.49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28%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$5.2M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Active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Cinnamon Crunch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$7.49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38%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launch year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Active-Launch-Q2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Cocoa Almond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$7.49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28%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launch year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Active-Launch-Q2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seeds/skus.csv.</w:t>
      </w:r>
    </w:p>
    <w:tbl>
      <w:tblPr>
        <w:tblW w:w="9504" w:type="dxa"/>
        <w:tblBorders>
          <w:top w:val="none"/>
          <w:left w:val="single" w:sz="24" w:color="B98A2E"/>
          <w:bottom w:val="none"/>
          <w:right w:val="none"/>
          <w:insideH w:val="none"/>
          <w:insideV w:val="none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F5F7F9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F2A44"/>
                <w:sz w:val="21"/>
              </w:rPr>
              <w:t>The single highest-return action in this plan</w:t>
            </w:r>
          </w:p>
          <w:p>
            <w:pPr>
              <w:spacing w:after="40" w:line="274" w:lineRule="auto"/>
            </w:pPr>
            <w:r>
              <w:rPr>
                <w:rFonts w:ascii="Calibri" w:hAnsi="Calibri"/>
                <w:b w:val="0"/>
                <w:i w:val="0"/>
                <w:color w:val="2B2F38"/>
                <w:sz w:val="20"/>
              </w:rPr>
              <w:t>Cinnamon Crunch sits at 38% national ACV and Cocoa Almond at 28%, four months after launch. Getting both to Vanilla Almond's 54% is worth more than any media dollar we could spend in FY2027, and it costs line-review negotiation rather than budget.</w:t>
            </w:r>
          </w:p>
        </w:tc>
      </w:tr>
    </w:tbl>
    <w:p>
      <w:pPr>
        <w:keepNext w:val="0"/>
        <w:spacing w:after="8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THE PLAN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4 · FY2027 on a page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1521"/>
        <w:gridCol w:w="3421"/>
        <w:gridCol w:w="1711"/>
        <w:gridCol w:w="2851"/>
      </w:tblGrid>
      <w:tr>
        <w:tc>
          <w:tcPr>
            <w:tcW w:type="dxa" w:w="152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Pillar</w:t>
            </w:r>
          </w:p>
        </w:tc>
        <w:tc>
          <w:tcPr>
            <w:tcW w:type="dxa" w:w="342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What we do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Investment</w:t>
            </w:r>
          </w:p>
        </w:tc>
        <w:tc>
          <w:tcPr>
            <w:tcW w:type="dxa" w:w="285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Success measure</w:t>
            </w:r>
          </w:p>
        </w:tc>
      </w:tr>
      <w:tr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Distribution</w:t>
            </w:r>
          </w:p>
        </w:tc>
        <w:tc>
          <w:tcPr>
            <w:tcW w:type="dxa" w:w="34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Full-line authorisation at Walmart and Kroger; Costco club pack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Line-review support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PP005 and PP006 ACV ≥55%</w:t>
            </w:r>
          </w:p>
        </w:tc>
      </w:tr>
      <w:tr>
        <w:tc>
          <w:tcPr>
            <w:tcW w:type="dxa" w:w="15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Innovation</w:t>
            </w:r>
          </w:p>
        </w:tc>
        <w:tc>
          <w:tcPr>
            <w:tcW w:type="dxa" w:w="34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Chocolate Almond through Q4 FY26 line reviews to Q1 FY27 shelf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Stage-gate funded</w:t>
            </w:r>
          </w:p>
        </w:tc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Top-two-box ≥55% held post-launch</w:t>
            </w:r>
          </w:p>
        </w:tc>
      </w:tr>
      <w:tr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Creator media</w:t>
            </w:r>
          </w:p>
        </w:tc>
        <w:tc>
          <w:tcPr>
            <w:tcW w:type="dxa" w:w="34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Athlete-anchored programme whitelisted into paid social and Roundel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≈$9M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Sentiment ≥+0.40</w:t>
            </w:r>
          </w:p>
        </w:tc>
      </w:tr>
      <w:tr>
        <w:tc>
          <w:tcPr>
            <w:tcW w:type="dxa" w:w="15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Retail media</w:t>
            </w:r>
          </w:p>
        </w:tc>
        <w:tc>
          <w:tcPr>
            <w:tcW w:type="dxa" w:w="342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Weighted to Walmart Connect (1.20) and Kroger Precision (0.77)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≈$6.5M</w:t>
            </w:r>
          </w:p>
        </w:tc>
        <w:tc>
          <w:tcPr>
            <w:tcW w:type="dxa" w:w="285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Blended modelled ratio ≥1.0</w:t>
            </w:r>
          </w:p>
        </w:tc>
      </w:tr>
      <w:tr>
        <w:tc>
          <w:tcPr>
            <w:tcW w:type="dxa" w:w="15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Price discipline</w:t>
            </w:r>
          </w:p>
        </w:tc>
        <w:tc>
          <w:tcPr>
            <w:tcW w:type="dxa" w:w="342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$7.49 held; maximum 10% depth; no stacking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—</w:t>
            </w:r>
          </w:p>
        </w:tc>
        <w:tc>
          <w:tcPr>
            <w:tcW w:type="dxa" w:w="285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Trade rate ≤13% of gross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seed_marketing_spend, seed_retail_media_spend_q1_2026, seed_concept_test_chocolate_almond, seed_trade_spend_fy25. FY27 figures are targets.</w:t>
      </w: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ROADMAP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5 · FY2027 to FY2029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3231"/>
        <w:gridCol w:w="1901"/>
        <w:gridCol w:w="1521"/>
        <w:gridCol w:w="1521"/>
        <w:gridCol w:w="1331"/>
      </w:tblGrid>
      <w:tr>
        <w:tc>
          <w:tcPr>
            <w:tcW w:type="dxa" w:w="323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Concept</w:t>
            </w:r>
          </w:p>
        </w:tc>
        <w:tc>
          <w:tcPr>
            <w:tcW w:type="dxa" w:w="190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Planned launch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Year-1 revenue</w:t>
            </w:r>
          </w:p>
        </w:tc>
        <w:tc>
          <w:tcPr>
            <w:tcW w:type="dxa" w:w="133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Confidence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ProteinPeak Cinnamon Crunch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Stage-6 In-Market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2026-04-20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$14.0M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0.74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ProteinPeak Cocoa Almond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Stage-6 In-Market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2026-04-20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$10.0M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0.68</w:t>
            </w:r>
          </w:p>
        </w:tc>
      </w:tr>
      <w:tr>
        <w:tc>
          <w:tcPr>
            <w:tcW w:type="dxa" w:w="323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ProteinPeak Bars - 12g protein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Stage-1 Idea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2028-Q2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$8.0M</w:t>
            </w:r>
          </w:p>
        </w:tc>
        <w:tc>
          <w:tcPr>
            <w:tcW w:type="dxa" w:w="133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0.28</w:t>
            </w:r>
          </w:p>
        </w:tc>
      </w:tr>
      <w:tr>
        <w:tc>
          <w:tcPr>
            <w:tcW w:type="dxa" w:w="323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ProteinPeak Mini Cups Six-Pack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Stage-2 Concept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2027-Q4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$3.4M</w:t>
            </w:r>
          </w:p>
        </w:tc>
        <w:tc>
          <w:tcPr>
            <w:tcW w:type="dxa" w:w="133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8"/>
              </w:rPr>
              <w:t>0.41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6"/>
        </w:rPr>
        <w:t>Source: seeds/innovation_pipeline.csv.</w:t>
      </w:r>
    </w:p>
    <w:p>
      <w:pPr>
        <w:spacing w:before="80" w:after="40"/>
      </w:pPr>
      <w:r>
        <w:drawing>
          <wp:inline xmlns:a="http://schemas.openxmlformats.org/drawingml/2006/main" xmlns:pic="http://schemas.openxmlformats.org/drawingml/2006/picture">
            <wp:extent cx="6035040" cy="24150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67_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15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 w:before="0" w:line="274" w:lineRule="auto"/>
      </w:pPr>
      <w:r>
        <w:rPr>
          <w:rFonts w:ascii="Calibri" w:hAnsi="Calibri"/>
          <w:b w:val="0"/>
          <w:i/>
          <w:color w:val="5B6472"/>
          <w:sz w:val="17"/>
        </w:rPr>
        <w:t>The roadmap: distribution in FY27, the bar segment in FY28, mid-teens segment share by FY29.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FY2027 ($100M target):</w:t>
      </w:r>
      <w:r>
        <w:rPr>
          <w:rFonts w:ascii="Calibri" w:hAnsi="Calibri"/>
          <w:b w:val="0"/>
          <w:i w:val="0"/>
          <w:color w:val="2B2F38"/>
          <w:sz w:val="21"/>
        </w:rPr>
        <w:t xml:space="preserve"> full distribution at Walmart and Kroger, Chocolate Almond in market. This is the AOP commitment (Report 14).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FY2028 ($125M target):</w:t>
      </w:r>
      <w:r>
        <w:rPr>
          <w:rFonts w:ascii="Calibri" w:hAnsi="Calibri"/>
          <w:b w:val="0"/>
          <w:i w:val="0"/>
          <w:color w:val="2B2F38"/>
          <w:sz w:val="21"/>
        </w:rPr>
        <w:t xml:space="preserve"> ProteinPeak Bars 12g opens the $2.96B granola-bar segment.</w:t>
      </w:r>
    </w:p>
    <w:p>
      <w:pPr>
        <w:pStyle w:val="ListBullet"/>
        <w:spacing w:after="80" w:line="274" w:lineRule="auto"/>
        <w:ind w:left="403" w:hanging="230"/>
      </w:pPr>
      <w:r>
        <w:rPr>
          <w:rFonts w:ascii="Calibri" w:hAnsi="Calibri"/>
          <w:b/>
          <w:i w:val="0"/>
          <w:color w:val="2B2F38"/>
          <w:sz w:val="21"/>
        </w:rPr>
        <w:t>FY2029 ($150M target):</w:t>
      </w:r>
      <w:r>
        <w:rPr>
          <w:rFonts w:ascii="Calibri" w:hAnsi="Calibri"/>
          <w:b w:val="0"/>
          <w:i w:val="0"/>
          <w:color w:val="2B2F38"/>
          <w:sz w:val="21"/>
        </w:rPr>
        <w:t xml:space="preserve"> 12–14 SKUs at a mid-teens share of a segment we expect to reach roughly $1.45B.</w:t>
      </w:r>
    </w:p>
    <w:p>
      <w:pPr>
        <w:keepNext w:val="0"/>
        <w:spacing w:after="40" w:before="0" w:line="274" w:lineRule="auto"/>
      </w:pPr>
    </w:p>
    <w:p>
      <w:pPr>
        <w:keepNext/>
        <w:spacing w:after="40" w:before="240" w:line="274" w:lineRule="auto"/>
      </w:pPr>
      <w:r>
        <w:rPr>
          <w:rFonts w:ascii="Calibri" w:hAnsi="Calibri"/>
          <w:b/>
          <w:i w:val="0"/>
          <w:color w:val="2E7D75"/>
          <w:sz w:val="18"/>
        </w:rPr>
        <w:t>COMPETITION</w:t>
      </w:r>
    </w:p>
    <w:p>
      <w:pPr>
        <w:keepNext/>
        <w:spacing w:after="100" w:before="0" w:line="274" w:lineRule="auto"/>
      </w:pPr>
      <w:r>
        <w:rPr>
          <w:rFonts w:ascii="Calibri" w:hAnsi="Calibri"/>
          <w:b/>
          <w:i w:val="0"/>
          <w:color w:val="1F2A44"/>
          <w:sz w:val="31"/>
        </w:rPr>
        <w:t>6 · Larksfield has already answered</w:t>
      </w:r>
    </w:p>
    <w:p>
      <w:pPr>
        <w:keepNext w:val="0"/>
        <w:spacing w:after="120" w:before="0" w:line="274" w:lineRule="auto"/>
      </w:pPr>
      <w:r>
        <w:rPr>
          <w:rFonts w:ascii="Calibri" w:hAnsi="Calibri"/>
          <w:b w:val="0"/>
          <w:i w:val="0"/>
          <w:color w:val="2B2F38"/>
          <w:sz w:val="21"/>
        </w:rPr>
        <w:t>Larksfield launched a 14 gram protein line extension (LF-FH-14P) on May 12 2026, escalating on both the protein and Louisiana fronts simultaneously. Our answer is Chocolate Almond — 64% top-two-box against a 55% action standard, clearing the 12 point substitutional cannibalisation gate at 8 points — taken to the Q4 FY26 line reviews. It is not a price response, and it should not become one.</w:t>
      </w: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Risks &amp; mitigations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2281"/>
        <w:gridCol w:w="1901"/>
        <w:gridCol w:w="3612"/>
        <w:gridCol w:w="1711"/>
      </w:tblGrid>
      <w:tr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190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3612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Mitigation</w:t>
            </w:r>
          </w:p>
        </w:tc>
        <w:tc>
          <w:tcPr>
            <w:tcW w:type="dxa" w:w="171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Larksfield escalates further in protein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Slows our share build in the best segment</w:t>
            </w:r>
          </w:p>
        </w:tc>
        <w:tc>
          <w:tcPr>
            <w:tcW w:type="dxa" w:w="36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Accelerate Chocolate Almond; hold Target endcap through Q3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Sage Park</w:t>
            </w:r>
          </w:p>
        </w:tc>
      </w:tr>
      <w:tr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Walmart authorisation does not land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FY27 target unreachable on distribution alone</w:t>
            </w:r>
          </w:p>
        </w:tc>
        <w:tc>
          <w:tcPr>
            <w:tcW w:type="dxa" w:w="361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Escalate to the August line review as a joint growth case (Report 77)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Marcus Boudreaux</w:t>
            </w:r>
          </w:p>
        </w:tc>
      </w:tr>
      <w:tr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Cannibalisation of PP001–PP003 exceeds 8 points steady-state</w:t>
            </w:r>
          </w:p>
        </w:tc>
        <w:tc>
          <w:tcPr>
            <w:tcW w:type="dxa" w:w="190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Net revenue benefit of the launch is overstated</w:t>
            </w:r>
          </w:p>
        </w:tc>
        <w:tc>
          <w:tcPr>
            <w:tcW w:type="dxa" w:w="3612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Re-read source of volume at week 13 post-Chocolate-Almond launch</w:t>
            </w:r>
          </w:p>
        </w:tc>
        <w:tc>
          <w:tcPr>
            <w:tcW w:type="dxa" w:w="171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Maya Chen</w:t>
            </w:r>
          </w:p>
        </w:tc>
      </w:tr>
      <w:tr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Premium price erodes through retailer-funded depth</w:t>
            </w:r>
          </w:p>
        </w:tc>
        <w:tc>
          <w:tcPr>
            <w:tcW w:type="dxa" w:w="190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Brand loses its premium position permanently</w:t>
            </w:r>
          </w:p>
        </w:tc>
        <w:tc>
          <w:tcPr>
            <w:tcW w:type="dxa" w:w="3612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10% depth cap enforced through the RGM policy (Report 64)</w:t>
            </w:r>
          </w:p>
        </w:tc>
        <w:tc>
          <w:tcPr>
            <w:tcW w:type="dxa" w:w="171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Trade Finance</w:t>
            </w:r>
          </w:p>
        </w:tc>
      </w:tr>
    </w:tbl>
    <w:p>
      <w:pPr>
        <w:keepNext w:val="0"/>
        <w:spacing w:after="60" w:before="0" w:line="274" w:lineRule="auto"/>
      </w:pPr>
    </w:p>
    <w:p>
      <w:pPr>
        <w:keepNext/>
        <w:spacing w:after="60" w:before="180" w:line="274" w:lineRule="auto"/>
      </w:pPr>
      <w:r>
        <w:rPr>
          <w:rFonts w:ascii="Calibri" w:hAnsi="Calibri"/>
          <w:b/>
          <w:i w:val="0"/>
          <w:color w:val="1F2A44"/>
          <w:sz w:val="23"/>
        </w:rPr>
        <w:t>Recommendations &amp; next steps</w:t>
      </w:r>
    </w:p>
    <w:tbl>
      <w:tblPr>
        <w:tblW w:w="9504" w:type="dxa"/>
        <w:jc w:val="left"/>
        <w:tblBorders>
          <w:top w:val="single" w:sz="4" w:color="C9D2DB"/>
          <w:left w:val="single" w:sz="4" w:color="C9D2DB"/>
          <w:bottom w:val="single" w:sz="4" w:color="C9D2DB"/>
          <w:right w:val="single" w:sz="4" w:color="C9D2DB"/>
          <w:insideH w:val="single" w:sz="4" w:color="C9D2DB"/>
          <w:insideV w:val="single" w:sz="4" w:color="C9D2DB"/>
        </w:tblBorders>
        <w:tblLayout w:type="fixed"/>
        <w:tblCellMar>
          <w:top w:w="40" w:type="dxa"/>
          <w:left w:w="72" w:type="dxa"/>
          <w:bottom w:w="40" w:type="dxa"/>
          <w:right w:w="72" w:type="dxa"/>
        </w:tblCellMar>
        <w:tblLook w:firstColumn="1" w:firstRow="1" w:lastColumn="0" w:lastRow="0" w:noHBand="0" w:noVBand="1" w:val="04A0"/>
      </w:tblPr>
      <w:tblGrid>
        <w:gridCol w:w="475"/>
        <w:gridCol w:w="5227"/>
        <w:gridCol w:w="2281"/>
        <w:gridCol w:w="1521"/>
      </w:tblGrid>
      <w:tr>
        <w:tc>
          <w:tcPr>
            <w:tcW w:type="dxa" w:w="475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5227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2281"/>
            <w:shd w:val="clear" w:color="auto" w:fill="1F2A44"/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521"/>
            <w:shd w:val="clear" w:color="auto" w:fill="1F2A44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1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Put ProteinPeak full-line authorisation on the Walmart August line-review agenda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Marcus Boudreaux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Aug line review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2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Approve Chocolate Almond for the Q4 FY26 Walmart and Target line reviews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Innovation SteerCo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Aug 5 2026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3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Weight FY27 retail media to Walmart Connect and Kroger Precision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Tasha Brooks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FY27 planning</w:t>
            </w:r>
          </w:p>
        </w:tc>
      </w:tr>
      <w:tr>
        <w:tc>
          <w:tcPr>
            <w:tcW w:type="dxa" w:w="475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4</w:t>
            </w:r>
          </w:p>
        </w:tc>
        <w:tc>
          <w:tcPr>
            <w:tcW w:type="dxa" w:w="5227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Hold $7.49 and the 10% depth cap through the launch year</w:t>
            </w:r>
          </w:p>
        </w:tc>
        <w:tc>
          <w:tcPr>
            <w:tcW w:type="dxa" w:w="2281"/>
            <w:shd w:val="clear" w:color="auto" w:fill="F5F7F9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Sage Park</w:t>
            </w:r>
          </w:p>
        </w:tc>
        <w:tc>
          <w:tcPr>
            <w:tcW w:type="dxa" w:w="1521"/>
            <w:shd w:val="clear" w:color="auto" w:fill="F5F7F9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FY2027</w:t>
            </w:r>
          </w:p>
        </w:tc>
      </w:tr>
      <w:tr>
        <w:tc>
          <w:tcPr>
            <w:tcW w:type="dxa" w:w="475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5</w:t>
            </w:r>
          </w:p>
        </w:tc>
        <w:tc>
          <w:tcPr>
            <w:tcW w:type="dxa" w:w="5227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Add velocity by retailer to the monthly brand scorecard</w:t>
            </w:r>
          </w:p>
        </w:tc>
        <w:tc>
          <w:tcPr>
            <w:tcW w:type="dxa" w:w="2281"/>
            <w:shd w:val="clear" w:color="auto" w:fill="FFFFFF"/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Sage Park</w:t>
            </w:r>
          </w:p>
        </w:tc>
        <w:tc>
          <w:tcPr>
            <w:tcW w:type="dxa" w:w="1521"/>
            <w:shd w:val="clear" w:color="auto" w:fill="FFFFFF"/>
          </w:tcPr>
          <w:p>
            <w:pPr>
              <w:spacing w:after="20"/>
              <w:jc w:val="right"/>
            </w:pPr>
            <w:r>
              <w:rPr>
                <w:rFonts w:ascii="Calibri" w:hAnsi="Calibri"/>
                <w:b w:val="0"/>
                <w:i w:val="0"/>
                <w:color w:val="2B2F38"/>
                <w:sz w:val="19"/>
              </w:rPr>
              <w:t>From August</w:t>
            </w:r>
          </w:p>
        </w:tc>
      </w:tr>
    </w:tbl>
    <w:p>
      <w:pPr>
        <w:keepNext w:val="0"/>
        <w:spacing w:after="60" w:before="0" w:line="274" w:lineRule="auto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</w:pPr>
    <w:r>
      <w:rPr>
        <w:rFonts w:ascii="Calibri" w:hAnsi="Calibri"/>
        <w:color w:val="5B6472"/>
        <w:sz w:val="15"/>
      </w:rPr>
      <w:t xml:space="preserve">Internal · Confidential — Acme Corp synthetic demo data. Fictional; not for real decision-making.     </w:t>
    </w:r>
    <w:r>
      <w:rPr>
        <w:rFonts w:ascii="Calibri" w:hAnsi="Calibri"/>
        <w:b/>
        <w:color w:val="5B6472"/>
        <w:sz w:val="15"/>
      </w:rPr>
      <w:t>ProteinPeak FY27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Calibri" w:hAnsi="Calibri"/>
      <w:color w:val="2B2F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ProteinPeak FY2027 Plan and Innovation Roadmap</dc:title>
  <dc:subject/>
  <dc:creator>Acme Corp (synthetic)</dc:creator>
  <cp:keywords/>
  <dc:description>Internal brand plan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