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DECISION MEMORANDUM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HoneyNest — Portfolio Role and the Mascot Question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A well-executed brand in a structurally declining segment, and the two decisions that follow from that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HoneyNest Brand Manager with Consumer Insights and Finance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To: VP Brand and the CFO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50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decision memorandum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-1.1%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FY26 VARIANCE TO PLAN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-2.8%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KIDS SWEET SEGMENT GROWTH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$21.7M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FY25 TRADE SPEND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Harvest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RECOMMENDED ROLE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SITUATION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Good management, wrong room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HoneyNest is one of the best-executed brands in the portfolio. That is the problem, not the consolation.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HoneyNest runs -1.1% against plan across FY2026 — better than every brand except RootDay. It does that inside a segment that fell from $3M to $3M, a decline of -2.8%. Two consecutive years of segment decline, with the mom-guilt trend at 0.68 strength and low-sugar pressure at 0.72, is not a cycle. It is a structural position.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We spend $21.7M of trade at 24.2% average depth for an incrementality index of 0.51. That is buying volume in a segment that is leaving, at a moment when Wellness Protein next door is growing +18.3% a year.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9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same shelf space and trade dollars are worth far more one segment over.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OPTIONS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Three ways to play it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1236"/>
        <w:gridCol w:w="3231"/>
        <w:gridCol w:w="1901"/>
        <w:gridCol w:w="1806"/>
        <w:gridCol w:w="1331"/>
      </w:tblGrid>
      <w:tr>
        <w:tc>
          <w:tcPr>
            <w:tcW w:type="dxa" w:w="1236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Option</w:t>
            </w:r>
          </w:p>
        </w:tc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it means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FY27–FY29 revenue</w:t>
            </w:r>
          </w:p>
        </w:tc>
        <w:tc>
          <w:tcPr>
            <w:tcW w:type="dxa" w:w="1806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Investment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123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 · Invest</w:t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Fund a kids-cereal relaunch, new mascot, media support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$92M → $96M → $99M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≈$12M incremental A&amp;P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Reject</w:t>
            </w:r>
          </w:p>
        </w:tc>
      </w:tr>
      <w:tr>
        <w:tc>
          <w:tcPr>
            <w:tcW w:type="dxa" w:w="123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 · Harvest</w:t>
            </w:r>
          </w:p>
        </w:tc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Hold distribution, A&amp;P to maintenance, LTOs only, cut trade depth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$92M → $88M → $84M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≈$1M A&amp;P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Recommend</w:t>
            </w:r>
          </w:p>
        </w:tc>
      </w:tr>
      <w:tr>
        <w:tc>
          <w:tcPr>
            <w:tcW w:type="dxa" w:w="123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 · Reposition</w:t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Move the brand into Family Wholegrain with a whole-grain-plus line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$92M → $94M → $97M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≈$5M plus R&amp;D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Recommend as a bet inside B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Revenue paths are planning estimates. Source: seed_category_market_size, seeds/innovation_pipeline.csv, seed_macro_trends.</w:t>
      </w:r>
    </w:p>
    <w:tbl>
      <w:tblPr>
        <w:tblW w:w="9504" w:type="dxa"/>
        <w:tblBorders>
          <w:top w:val="none"/>
          <w:left w:val="single" w:sz="24" w:color="B24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Why Option A is rejected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A relaunch spends FY2027 growth money on the least favourable structural position in the portfolio, against a 0.68-strength parental-guilt trend. The same $12M behind ProteinPeak distribution or TrailGrove range extension returns more, with less execution risk.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MASCOT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The second decision, and why it is separate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mascot question has been raised repeatedly as though it were the brand's problem. It is not. Aided awareness of the portfolio's kid-facing assets is healthy and the equity data shows no meaningful trust or affection deficit. Retiring the mascot inside a harvest plan would spend real money — pack changeover, asset re-shoot, retailer re-listing — to solve something the data does not identify as a cause.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Recommendation: retire the mascot only if Option C proceeds.</w:t>
      </w:r>
      <w:r>
        <w:rPr>
          <w:rFonts w:ascii="Calibri" w:hAnsi="Calibri"/>
          <w:b w:val="0"/>
          <w:i w:val="0"/>
          <w:color w:val="2B2F38"/>
          <w:sz w:val="21"/>
        </w:rPr>
        <w:t xml:space="preserve"> A whole-grain repositioning needs a different visual language; a harvest does not.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If Option B alone proceeds, keep the mascot</w:t>
      </w:r>
      <w:r>
        <w:rPr>
          <w:rFonts w:ascii="Calibri" w:hAnsi="Calibri"/>
          <w:b w:val="0"/>
          <w:i w:val="0"/>
          <w:color w:val="2B2F38"/>
          <w:sz w:val="21"/>
        </w:rPr>
        <w:t xml:space="preserve"> and spend nothing on the change.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Either way, do not run a mascot decision as a standalone project.</w:t>
      </w:r>
      <w:r>
        <w:rPr>
          <w:rFonts w:ascii="Calibri" w:hAnsi="Calibri"/>
          <w:b w:val="0"/>
          <w:i w:val="0"/>
          <w:color w:val="2B2F38"/>
          <w:sz w:val="21"/>
        </w:rPr>
        <w:t xml:space="preserve"> It is a consequence of the portfolio role, not an alternative to choosing one.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EVIDENCE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The trend backdrop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1331"/>
        <w:gridCol w:w="2281"/>
        <w:gridCol w:w="266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Trend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Strength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Direction</w:t>
            </w:r>
          </w:p>
        </w:tc>
        <w:tc>
          <w:tcPr>
            <w:tcW w:type="dxa" w:w="266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Categories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High-protein cereal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0.92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GLP-1 / Ozempic appetite shift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0.81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Down (volume impact)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Cereal+Bar+Hot Cereal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Sustainable packaging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All Categories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Limited-time offers (LTO) acceleration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Cereal+Granola+Bar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Low-sugar reformulation pressure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0.72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Cereal+Granola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seed_macro_trends, filtered to trends bearing on kids' cereal.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PIPELINE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What HoneyNest has in the tank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2091"/>
        <w:gridCol w:w="1521"/>
        <w:gridCol w:w="1331"/>
        <w:gridCol w:w="133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Concept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Planned launch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Year-1 revenue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HoneyNest Birthday Cake LTO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Stage-4 Pre-Launch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2026-Q4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$2.4M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On-Track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HoneyNest Plus Whole Grain - Heart Healt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Stage-1 Idea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2028-Q1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$4.0M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Pre-Stage-Gate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HoneyNest Granola Crunch - Discontinue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Stage-Final Discontinue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2026-Q3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—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Confirmed-Discontinue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HoneyNest Cookie Dough - Discontinue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Stage-Final Discontinue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2026-Q3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—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Confirmed-Discontinue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seeds/innovation_pipeline.csv.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Decision log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372"/>
        <w:gridCol w:w="2091"/>
        <w:gridCol w:w="1331"/>
        <w:gridCol w:w="1711"/>
      </w:tblGrid>
      <w:tr>
        <w:tc>
          <w:tcPr>
            <w:tcW w:type="dxa" w:w="437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Adopt Option B (managed harvest) as HoneyNest's portfolio role from FY2027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Brand / CFO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plan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Fund Option C as a single Stage-2 concept, not a relaunch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Innovation SteerCo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Q4 FY26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Confirm Q3 FY26 discontinuation of Granola Crunch and Cookie Dough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HoneyNest BM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Q3 FY26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On track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Defer the mascot decision until the Option C gate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Brand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Q4 FY26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C08A1E"/>
                <w:sz w:val="19"/>
              </w:rPr>
              <w:t>Watch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Redirect ≈$8M of trade and A&amp;P to ProteinPeak and TrailGrove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plan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Option B with Option C as a funded concept bet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Brand / CFO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planning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Keep the Birthday Cake LTO as the one active FY27 innovation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HoneyNest BM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Q4 FY26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Reduce promoted event count in line with the harvest decision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HoneyNest BM / Trade Finance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calendar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Revisit the portfolio role if Kids Sweet returns to growth for two consecutive quarters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Category Insights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Quarterly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HoneyNest decision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HoneyNest — Portfolio Role and the Mascot Question</dc:title>
  <dc:subject/>
  <dc:creator>Acme Corp (synthetic)</dc:creator>
  <cp:keywords/>
  <dc:description>Internal decision memorandum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