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MEETING MINUTES &amp; DECISION LOG</w:t>
      </w:r>
    </w:p>
    <w:p>
      <w:pPr>
        <w:keepNext w:val="0"/>
        <w:spacing w:after="120" w:before="0" w:line="259" w:lineRule="auto"/>
      </w:pPr>
      <w:r>
        <w:rPr>
          <w:rFonts w:ascii="Calibri" w:hAnsi="Calibri"/>
          <w:b/>
          <w:i w:val="0"/>
          <w:color w:val="1F2A44"/>
          <w:sz w:val="46"/>
        </w:rPr>
        <w:t>Q2 FY2026 S&amp;OP / IBP Executive Cycle</w:t>
      </w:r>
    </w:p>
    <w:p>
      <w:pPr>
        <w:keepNext w:val="0"/>
        <w:spacing w:after="160" w:before="0" w:line="288" w:lineRule="auto"/>
      </w:pPr>
      <w:r>
        <w:rPr>
          <w:rFonts w:ascii="Calibri" w:hAnsi="Calibri"/>
          <w:b w:val="0"/>
          <w:i w:val="0"/>
          <w:color w:val="5B6472"/>
          <w:sz w:val="26"/>
        </w:rPr>
        <w:t>Consensus number, constraints, decisions taken and actions carried forward</w:t>
      </w:r>
    </w:p>
    <w:p>
      <w:pPr>
        <w:spacing w:after="120"/>
        <w:pBdr>
          <w:bottom w:val="single" w:sz="6" w:space="1" w:color="C9D2DB"/>
        </w:pBdr>
      </w:pPr>
    </w:p>
    <w:p>
      <w:pPr>
        <w:keepNext w:val="0"/>
        <w:spacing w:after="40" w:before="0" w:line="274" w:lineRule="auto"/>
      </w:pPr>
      <w:r>
        <w:rPr>
          <w:rFonts w:ascii="Calibri" w:hAnsi="Calibri"/>
          <w:b/>
          <w:i w:val="0"/>
          <w:color w:val="5B6472"/>
          <w:sz w:val="20"/>
        </w:rPr>
        <w:t>S&amp;OP Lead (chair) · minuted by Demand Planning</w:t>
      </w:r>
    </w:p>
    <w:p>
      <w:pPr>
        <w:keepNext w:val="0"/>
        <w:spacing w:after="20" w:before="0" w:line="274" w:lineRule="auto"/>
      </w:pPr>
      <w:r>
        <w:rPr>
          <w:rFonts w:ascii="Calibri" w:hAnsi="Calibri"/>
          <w:b w:val="0"/>
          <w:i w:val="0"/>
          <w:color w:val="5B6472"/>
          <w:sz w:val="19"/>
        </w:rPr>
        <w:t>Meeting: July 2026 executive S&amp;OP review</w:t>
      </w:r>
    </w:p>
    <w:p>
      <w:pPr>
        <w:keepNext w:val="0"/>
        <w:spacing w:after="20" w:before="0" w:line="274" w:lineRule="auto"/>
      </w:pPr>
      <w:r>
        <w:rPr>
          <w:rFonts w:ascii="Calibri" w:hAnsi="Calibri"/>
          <w:b w:val="0"/>
          <w:i w:val="0"/>
          <w:color w:val="5B6472"/>
          <w:sz w:val="19"/>
        </w:rPr>
        <w:t>Attendees: CFO, VP Supply Chain, VP Sales NA, VP Brand, Demand Planning, FP&amp;A</w:t>
      </w:r>
    </w:p>
    <w:p>
      <w:pPr>
        <w:keepNext w:val="0"/>
        <w:spacing w:after="20" w:before="0" w:line="274" w:lineRule="auto"/>
      </w:pPr>
      <w:r>
        <w:rPr>
          <w:rFonts w:ascii="Calibri" w:hAnsi="Calibri"/>
          <w:b w:val="0"/>
          <w:i w:val="0"/>
          <w:color w:val="5B6472"/>
          <w:sz w:val="19"/>
        </w:rPr>
        <w:t>Companion deck: Report 52</w:t>
      </w:r>
    </w:p>
    <w:p>
      <w:pPr>
        <w:keepNext w:val="0"/>
        <w:spacing w:after="200" w:before="0" w:line="274" w:lineRule="auto"/>
      </w:pPr>
      <w:r>
        <w:rPr>
          <w:rFonts w:ascii="Calibri" w:hAnsi="Calibri"/>
          <w:b w:val="0"/>
          <w:i w:val="0"/>
          <w:color w:val="5B6472"/>
          <w:sz w:val="19"/>
        </w:rPr>
        <w:t>Internal meeting record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$379M</w:t>
            </w:r>
          </w:p>
          <w:p>
            <w:pPr>
              <w:spacing w:after="40"/>
            </w:pPr>
            <w:r>
              <w:rPr>
                <w:rFonts w:ascii="Calibri" w:hAnsi="Calibri"/>
                <w:b/>
                <w:i w:val="0"/>
                <w:color w:val="5B6472"/>
                <w:sz w:val="16"/>
              </w:rPr>
              <w:t>CONSENSUS H2 NUMBER</w:t>
            </w:r>
          </w:p>
        </w:tc>
        <w:tc>
          <w:tcPr>
            <w:tcW w:type="dxa" w:w="2376"/>
            <w:shd w:val="clear" w:color="auto" w:fill="F5F7F9"/>
          </w:tcPr>
          <w:p>
            <w:pPr>
              <w:spacing w:after="40"/>
            </w:pPr>
            <w:r>
              <w:rPr>
                <w:rFonts w:ascii="Calibri" w:hAnsi="Calibri"/>
                <w:b/>
                <w:i w:val="0"/>
                <w:color w:val="1F2A44"/>
                <w:sz w:val="34"/>
              </w:rPr>
              <w:t>-3.4%</w:t>
            </w:r>
          </w:p>
          <w:p>
            <w:pPr>
              <w:spacing w:after="40"/>
            </w:pPr>
            <w:r>
              <w:rPr>
                <w:rFonts w:ascii="Calibri" w:hAnsi="Calibri"/>
                <w:b/>
                <w:i w:val="0"/>
                <w:color w:val="5B6472"/>
                <w:sz w:val="16"/>
              </w:rPr>
              <w:t>Q2 QTD VS PLAN</w:t>
            </w:r>
          </w:p>
        </w:tc>
        <w:tc>
          <w:tcPr>
            <w:tcW w:type="dxa" w:w="2376"/>
            <w:shd w:val="clear" w:color="auto" w:fill="F5F7F9"/>
          </w:tcPr>
          <w:p>
            <w:pPr>
              <w:spacing w:after="40"/>
            </w:pPr>
            <w:r>
              <w:rPr>
                <w:rFonts w:ascii="Calibri" w:hAnsi="Calibri"/>
                <w:b/>
                <w:i w:val="0"/>
                <w:color w:val="1F2A44"/>
                <w:sz w:val="34"/>
              </w:rPr>
              <w:t>94.7%</w:t>
            </w:r>
          </w:p>
          <w:p>
            <w:pPr>
              <w:spacing w:after="40"/>
            </w:pPr>
            <w:r>
              <w:rPr>
                <w:rFonts w:ascii="Calibri" w:hAnsi="Calibri"/>
                <w:b/>
                <w:i w:val="0"/>
                <w:color w:val="5B6472"/>
                <w:sz w:val="16"/>
              </w:rPr>
              <w:t>FILL RATE</w:t>
            </w:r>
          </w:p>
        </w:tc>
        <w:tc>
          <w:tcPr>
            <w:tcW w:type="dxa" w:w="2376"/>
            <w:shd w:val="clear" w:color="auto" w:fill="F5F7F9"/>
          </w:tcPr>
          <w:p>
            <w:pPr>
              <w:spacing w:after="40"/>
            </w:pPr>
            <w:r>
              <w:rPr>
                <w:rFonts w:ascii="Calibri" w:hAnsi="Calibri"/>
                <w:b/>
                <w:i w:val="0"/>
                <w:color w:val="1F2A44"/>
                <w:sz w:val="34"/>
              </w:rPr>
              <w:t>5</w:t>
            </w:r>
          </w:p>
          <w:p>
            <w:pPr>
              <w:spacing w:after="40"/>
            </w:pPr>
            <w:r>
              <w:rPr>
                <w:rFonts w:ascii="Calibri" w:hAnsi="Calibri"/>
                <w:b/>
                <w:i w:val="0"/>
                <w:color w:val="5B6472"/>
                <w:sz w:val="16"/>
              </w:rPr>
              <w:t>DECISIONS TAKEN</w:t>
            </w:r>
          </w:p>
        </w:tc>
      </w:tr>
    </w:tbl>
    <w:p>
      <w:pPr>
        <w:keepNext w:val="0"/>
        <w:spacing w:after="80" w:before="0" w:line="274" w:lineRule="auto"/>
      </w:pPr>
    </w:p>
    <w:p>
      <w:pPr>
        <w:keepNext/>
        <w:spacing w:after="40" w:before="240" w:line="274" w:lineRule="auto"/>
      </w:pPr>
      <w:r>
        <w:rPr>
          <w:rFonts w:ascii="Calibri" w:hAnsi="Calibri"/>
          <w:b/>
          <w:i w:val="0"/>
          <w:color w:val="2E7D75"/>
          <w:sz w:val="18"/>
        </w:rPr>
        <w:t>ATTENDANCE &amp; PURPOSE</w:t>
      </w:r>
    </w:p>
    <w:p>
      <w:pPr>
        <w:keepNext/>
        <w:spacing w:after="100" w:before="0" w:line="274" w:lineRule="auto"/>
      </w:pPr>
      <w:r>
        <w:rPr>
          <w:rFonts w:ascii="Calibri" w:hAnsi="Calibri"/>
          <w:b/>
          <w:i w:val="0"/>
          <w:color w:val="1F2A44"/>
          <w:sz w:val="31"/>
        </w:rPr>
        <w:t>1 · Cycle summary</w:t>
      </w:r>
    </w:p>
    <w:p>
      <w:pPr>
        <w:keepNext w:val="0"/>
        <w:spacing w:after="120" w:before="0" w:line="274" w:lineRule="auto"/>
      </w:pPr>
      <w:r>
        <w:rPr>
          <w:rFonts w:ascii="Calibri" w:hAnsi="Calibri"/>
          <w:b w:val="0"/>
          <w:i w:val="0"/>
          <w:color w:val="2B2F38"/>
          <w:sz w:val="21"/>
        </w:rPr>
        <w:t>The July cycle reconciled the demand, supply and financial plans for Q3 and Q4 FY2026 and agreed a single consensus number. Two constraints were tabled and both were resolved within the cycle. No items were escalated beyond this meeting.</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471"/>
        <w:gridCol w:w="2091"/>
        <w:gridCol w:w="4942"/>
      </w:tblGrid>
      <w:tr>
        <w:tc>
          <w:tcPr>
            <w:tcW w:type="dxa" w:w="2471"/>
            <w:shd w:val="clear" w:color="auto" w:fill="1F2A44"/>
          </w:tcPr>
          <w:p>
            <w:pPr>
              <w:spacing w:after="20"/>
            </w:pPr>
            <w:r>
              <w:rPr>
                <w:rFonts w:ascii="Calibri" w:hAnsi="Calibri"/>
                <w:b/>
                <w:i w:val="0"/>
                <w:color w:val="FFFFFF"/>
                <w:sz w:val="17"/>
              </w:rPr>
              <w:t>Review step</w:t>
            </w:r>
          </w:p>
        </w:tc>
        <w:tc>
          <w:tcPr>
            <w:tcW w:type="dxa" w:w="2091"/>
            <w:shd w:val="clear" w:color="auto" w:fill="1F2A44"/>
          </w:tcPr>
          <w:p>
            <w:pPr>
              <w:spacing w:after="20"/>
            </w:pPr>
            <w:r>
              <w:rPr>
                <w:rFonts w:ascii="Calibri" w:hAnsi="Calibri"/>
                <w:b/>
                <w:i w:val="0"/>
                <w:color w:val="FFFFFF"/>
                <w:sz w:val="17"/>
              </w:rPr>
              <w:t>Owner</w:t>
            </w:r>
          </w:p>
        </w:tc>
        <w:tc>
          <w:tcPr>
            <w:tcW w:type="dxa" w:w="4942"/>
            <w:shd w:val="clear" w:color="auto" w:fill="1F2A44"/>
          </w:tcPr>
          <w:p>
            <w:pPr>
              <w:spacing w:after="20"/>
            </w:pPr>
            <w:r>
              <w:rPr>
                <w:rFonts w:ascii="Calibri" w:hAnsi="Calibri"/>
                <w:b/>
                <w:i w:val="0"/>
                <w:color w:val="FFFFFF"/>
                <w:sz w:val="17"/>
              </w:rPr>
              <w:t>Outcome</w:t>
            </w:r>
          </w:p>
        </w:tc>
      </w:tr>
      <w:tr>
        <w:tc>
          <w:tcPr>
            <w:tcW w:type="dxa" w:w="2471"/>
            <w:shd w:val="clear" w:color="auto" w:fill="FFFFFF"/>
          </w:tcPr>
          <w:p>
            <w:pPr>
              <w:spacing w:after="20"/>
            </w:pPr>
            <w:r>
              <w:rPr>
                <w:rFonts w:ascii="Calibri" w:hAnsi="Calibri"/>
                <w:b w:val="0"/>
                <w:i w:val="0"/>
                <w:color w:val="2B2F38"/>
                <w:sz w:val="18"/>
              </w:rPr>
              <w:t>Demand review</w:t>
            </w:r>
          </w:p>
        </w:tc>
        <w:tc>
          <w:tcPr>
            <w:tcW w:type="dxa" w:w="2091"/>
            <w:shd w:val="clear" w:color="auto" w:fill="FFFFFF"/>
          </w:tcPr>
          <w:p>
            <w:pPr>
              <w:spacing w:after="20"/>
            </w:pPr>
            <w:r>
              <w:rPr>
                <w:rFonts w:ascii="Calibri" w:hAnsi="Calibri"/>
                <w:b w:val="0"/>
                <w:i w:val="0"/>
                <w:color w:val="2B2F38"/>
                <w:sz w:val="18"/>
              </w:rPr>
              <w:t>Demand Planning</w:t>
            </w:r>
          </w:p>
        </w:tc>
        <w:tc>
          <w:tcPr>
            <w:tcW w:type="dxa" w:w="4942"/>
            <w:shd w:val="clear" w:color="auto" w:fill="FFFFFF"/>
          </w:tcPr>
          <w:p>
            <w:pPr>
              <w:spacing w:after="20"/>
            </w:pPr>
            <w:r>
              <w:rPr>
                <w:rFonts w:ascii="Calibri" w:hAnsi="Calibri"/>
                <w:b w:val="0"/>
                <w:i w:val="0"/>
                <w:color w:val="2B2F38"/>
                <w:sz w:val="18"/>
              </w:rPr>
              <w:t>Unconstrained forecast $384M for H2</w:t>
            </w:r>
          </w:p>
        </w:tc>
      </w:tr>
      <w:tr>
        <w:tc>
          <w:tcPr>
            <w:tcW w:type="dxa" w:w="2471"/>
            <w:shd w:val="clear" w:color="auto" w:fill="F5F7F9"/>
          </w:tcPr>
          <w:p>
            <w:pPr>
              <w:spacing w:after="20"/>
            </w:pPr>
            <w:r>
              <w:rPr>
                <w:rFonts w:ascii="Calibri" w:hAnsi="Calibri"/>
                <w:b w:val="0"/>
                <w:i w:val="0"/>
                <w:color w:val="2B2F38"/>
                <w:sz w:val="18"/>
              </w:rPr>
              <w:t>Supply review</w:t>
            </w:r>
          </w:p>
        </w:tc>
        <w:tc>
          <w:tcPr>
            <w:tcW w:type="dxa" w:w="2091"/>
            <w:shd w:val="clear" w:color="auto" w:fill="F5F7F9"/>
          </w:tcPr>
          <w:p>
            <w:pPr>
              <w:spacing w:after="20"/>
            </w:pPr>
            <w:r>
              <w:rPr>
                <w:rFonts w:ascii="Calibri" w:hAnsi="Calibri"/>
                <w:b w:val="0"/>
                <w:i w:val="0"/>
                <w:color w:val="2B2F38"/>
                <w:sz w:val="18"/>
              </w:rPr>
              <w:t>VP Supply Chain</w:t>
            </w:r>
          </w:p>
        </w:tc>
        <w:tc>
          <w:tcPr>
            <w:tcW w:type="dxa" w:w="4942"/>
            <w:shd w:val="clear" w:color="auto" w:fill="F5F7F9"/>
          </w:tcPr>
          <w:p>
            <w:pPr>
              <w:spacing w:after="20"/>
            </w:pPr>
            <w:r>
              <w:rPr>
                <w:rFonts w:ascii="Calibri" w:hAnsi="Calibri"/>
                <w:b w:val="0"/>
                <w:i w:val="0"/>
                <w:color w:val="2B2F38"/>
                <w:sz w:val="18"/>
              </w:rPr>
              <w:t>Service fully recovered; changeover capacity flagged as the binding constraint</w:t>
            </w:r>
          </w:p>
        </w:tc>
      </w:tr>
      <w:tr>
        <w:tc>
          <w:tcPr>
            <w:tcW w:type="dxa" w:w="2471"/>
            <w:shd w:val="clear" w:color="auto" w:fill="FFFFFF"/>
          </w:tcPr>
          <w:p>
            <w:pPr>
              <w:spacing w:after="20"/>
            </w:pPr>
            <w:r>
              <w:rPr>
                <w:rFonts w:ascii="Calibri" w:hAnsi="Calibri"/>
                <w:b w:val="0"/>
                <w:i w:val="0"/>
                <w:color w:val="2B2F38"/>
                <w:sz w:val="18"/>
              </w:rPr>
              <w:t>Product / innovation review</w:t>
            </w:r>
          </w:p>
        </w:tc>
        <w:tc>
          <w:tcPr>
            <w:tcW w:type="dxa" w:w="2091"/>
            <w:shd w:val="clear" w:color="auto" w:fill="FFFFFF"/>
          </w:tcPr>
          <w:p>
            <w:pPr>
              <w:spacing w:after="20"/>
            </w:pPr>
            <w:r>
              <w:rPr>
                <w:rFonts w:ascii="Calibri" w:hAnsi="Calibri"/>
                <w:b w:val="0"/>
                <w:i w:val="0"/>
                <w:color w:val="2B2F38"/>
                <w:sz w:val="18"/>
              </w:rPr>
              <w:t>VP Brand</w:t>
            </w:r>
          </w:p>
        </w:tc>
        <w:tc>
          <w:tcPr>
            <w:tcW w:type="dxa" w:w="4942"/>
            <w:shd w:val="clear" w:color="auto" w:fill="FFFFFF"/>
          </w:tcPr>
          <w:p>
            <w:pPr>
              <w:spacing w:after="20"/>
            </w:pPr>
            <w:r>
              <w:rPr>
                <w:rFonts w:ascii="Calibri" w:hAnsi="Calibri"/>
                <w:b w:val="0"/>
                <w:i w:val="0"/>
                <w:color w:val="2B2F38"/>
                <w:sz w:val="18"/>
              </w:rPr>
              <w:t>Three launches inside the horizon; Pack Refresh confirmed for Aug 15</w:t>
            </w:r>
          </w:p>
        </w:tc>
      </w:tr>
      <w:tr>
        <w:tc>
          <w:tcPr>
            <w:tcW w:type="dxa" w:w="2471"/>
            <w:shd w:val="clear" w:color="auto" w:fill="F5F7F9"/>
          </w:tcPr>
          <w:p>
            <w:pPr>
              <w:spacing w:after="20"/>
            </w:pPr>
            <w:r>
              <w:rPr>
                <w:rFonts w:ascii="Calibri" w:hAnsi="Calibri"/>
                <w:b w:val="0"/>
                <w:i w:val="0"/>
                <w:color w:val="2B2F38"/>
                <w:sz w:val="18"/>
              </w:rPr>
              <w:t>Reconciliation</w:t>
            </w:r>
          </w:p>
        </w:tc>
        <w:tc>
          <w:tcPr>
            <w:tcW w:type="dxa" w:w="2091"/>
            <w:shd w:val="clear" w:color="auto" w:fill="F5F7F9"/>
          </w:tcPr>
          <w:p>
            <w:pPr>
              <w:spacing w:after="20"/>
            </w:pPr>
            <w:r>
              <w:rPr>
                <w:rFonts w:ascii="Calibri" w:hAnsi="Calibri"/>
                <w:b w:val="0"/>
                <w:i w:val="0"/>
                <w:color w:val="2B2F38"/>
                <w:sz w:val="18"/>
              </w:rPr>
              <w:t>S&amp;OP Lead</w:t>
            </w:r>
          </w:p>
        </w:tc>
        <w:tc>
          <w:tcPr>
            <w:tcW w:type="dxa" w:w="4942"/>
            <w:shd w:val="clear" w:color="auto" w:fill="F5F7F9"/>
          </w:tcPr>
          <w:p>
            <w:pPr>
              <w:spacing w:after="20"/>
            </w:pPr>
            <w:r>
              <w:rPr>
                <w:rFonts w:ascii="Calibri" w:hAnsi="Calibri"/>
                <w:b w:val="0"/>
                <w:i w:val="0"/>
                <w:color w:val="2B2F38"/>
                <w:sz w:val="18"/>
              </w:rPr>
              <w:t>Consensus $379M; $3M gap held as management risk</w:t>
            </w:r>
          </w:p>
        </w:tc>
      </w:tr>
      <w:tr>
        <w:tc>
          <w:tcPr>
            <w:tcW w:type="dxa" w:w="2471"/>
            <w:shd w:val="clear" w:color="auto" w:fill="FFFFFF"/>
          </w:tcPr>
          <w:p>
            <w:pPr>
              <w:spacing w:after="20"/>
            </w:pPr>
            <w:r>
              <w:rPr>
                <w:rFonts w:ascii="Calibri" w:hAnsi="Calibri"/>
                <w:b w:val="0"/>
                <w:i w:val="0"/>
                <w:color w:val="2B2F38"/>
                <w:sz w:val="18"/>
              </w:rPr>
              <w:t>Management review</w:t>
            </w:r>
          </w:p>
        </w:tc>
        <w:tc>
          <w:tcPr>
            <w:tcW w:type="dxa" w:w="2091"/>
            <w:shd w:val="clear" w:color="auto" w:fill="FFFFFF"/>
          </w:tcPr>
          <w:p>
            <w:pPr>
              <w:spacing w:after="20"/>
            </w:pPr>
            <w:r>
              <w:rPr>
                <w:rFonts w:ascii="Calibri" w:hAnsi="Calibri"/>
                <w:b w:val="0"/>
                <w:i w:val="0"/>
                <w:color w:val="2B2F38"/>
                <w:sz w:val="18"/>
              </w:rPr>
              <w:t>CFO</w:t>
            </w:r>
          </w:p>
        </w:tc>
        <w:tc>
          <w:tcPr>
            <w:tcW w:type="dxa" w:w="4942"/>
            <w:shd w:val="clear" w:color="auto" w:fill="FFFFFF"/>
          </w:tcPr>
          <w:p>
            <w:pPr>
              <w:spacing w:after="20"/>
            </w:pPr>
            <w:r>
              <w:rPr>
                <w:rFonts w:ascii="Calibri" w:hAnsi="Calibri"/>
                <w:b w:val="0"/>
                <w:i w:val="0"/>
                <w:color w:val="2B2F38"/>
                <w:sz w:val="18"/>
              </w:rPr>
              <w:t>Consensus accepted; five decisions taken</w:t>
            </w:r>
          </w:p>
        </w:tc>
      </w:tr>
    </w:tbl>
    <w:p>
      <w:pPr>
        <w:keepNext w:val="0"/>
        <w:spacing w:after="60" w:before="0" w:line="274" w:lineRule="auto"/>
      </w:pPr>
    </w:p>
    <w:p>
      <w:pPr>
        <w:keepNext/>
        <w:spacing w:after="40" w:before="240" w:line="274" w:lineRule="auto"/>
      </w:pPr>
      <w:r>
        <w:rPr>
          <w:rFonts w:ascii="Calibri" w:hAnsi="Calibri"/>
          <w:b/>
          <w:i w:val="0"/>
          <w:color w:val="2E7D75"/>
          <w:sz w:val="18"/>
        </w:rPr>
        <w:t>DEMAND</w:t>
      </w:r>
    </w:p>
    <w:p>
      <w:pPr>
        <w:keepNext/>
        <w:spacing w:after="100" w:before="0" w:line="274" w:lineRule="auto"/>
      </w:pPr>
      <w:r>
        <w:rPr>
          <w:rFonts w:ascii="Calibri" w:hAnsi="Calibri"/>
          <w:b/>
          <w:i w:val="0"/>
          <w:color w:val="1F2A44"/>
          <w:sz w:val="31"/>
        </w:rPr>
        <w:t>2 · Demand review</w:t>
      </w:r>
    </w:p>
    <w:p>
      <w:pPr>
        <w:keepNext w:val="0"/>
        <w:spacing w:after="120" w:before="0" w:line="274" w:lineRule="auto"/>
      </w:pPr>
      <w:r>
        <w:rPr>
          <w:rFonts w:ascii="Calibri" w:hAnsi="Calibri"/>
          <w:b w:val="0"/>
          <w:i w:val="0"/>
          <w:color w:val="2B2F38"/>
          <w:sz w:val="21"/>
        </w:rPr>
        <w:t>Q2 through May delivered $123.1M against $127.5M of plan (-3.4%), with the monthly gap narrowing from -5.4% in February to -3.4% in May. Demand Planning presented an unconstrained H2 forecast of $384M built off the May run-rate plus the Pack Refresh and full-quarter ProteinPeak distribution.</w:t>
      </w:r>
    </w:p>
    <w:p>
      <w:pPr>
        <w:spacing w:before="80" w:after="40"/>
      </w:pPr>
      <w:r>
        <w:drawing>
          <wp:inline xmlns:a="http://schemas.openxmlformats.org/drawingml/2006/main" xmlns:pic="http://schemas.openxmlformats.org/drawingml/2006/picture">
            <wp:extent cx="6035040" cy="2374703"/>
            <wp:docPr id="1" name="Picture 1"/>
            <wp:cNvGraphicFramePr>
              <a:graphicFrameLocks noChangeAspect="1"/>
            </wp:cNvGraphicFramePr>
            <a:graphic>
              <a:graphicData uri="http://schemas.openxmlformats.org/drawingml/2006/picture">
                <pic:pic>
                  <pic:nvPicPr>
                    <pic:cNvPr id="0" name="r72_month.png"/>
                    <pic:cNvPicPr/>
                  </pic:nvPicPr>
                  <pic:blipFill>
                    <a:blip r:embed="rId10"/>
                    <a:stretch>
                      <a:fillRect/>
                    </a:stretch>
                  </pic:blipFill>
                  <pic:spPr>
                    <a:xfrm>
                      <a:off x="0" y="0"/>
                      <a:ext cx="6035040" cy="2374703"/>
                    </a:xfrm>
                    <a:prstGeom prst="rect"/>
                  </pic:spPr>
                </pic:pic>
              </a:graphicData>
            </a:graphic>
          </wp:inline>
        </w:drawing>
      </w:r>
    </w:p>
    <w:p>
      <w:pPr>
        <w:keepNext w:val="0"/>
        <w:spacing w:after="160" w:before="0" w:line="274" w:lineRule="auto"/>
      </w:pPr>
      <w:r>
        <w:rPr>
          <w:rFonts w:ascii="Calibri" w:hAnsi="Calibri"/>
          <w:b w:val="0"/>
          <w:i/>
          <w:color w:val="5B6472"/>
          <w:sz w:val="17"/>
        </w:rPr>
        <w:t>The basis for the H2 build: May's actual held flat, not the original plan.</w:t>
      </w:r>
    </w:p>
    <w:p>
      <w:pPr>
        <w:keepNext w:val="0"/>
        <w:spacing w:after="120" w:before="0" w:line="274" w:lineRule="auto"/>
      </w:pPr>
      <w:r>
        <w:rPr>
          <w:rFonts w:ascii="Calibri" w:hAnsi="Calibri"/>
          <w:b/>
          <w:i w:val="0"/>
          <w:color w:val="2B2F38"/>
          <w:sz w:val="21"/>
        </w:rPr>
        <w:t>Challenge from Finance:</w:t>
      </w:r>
      <w:r>
        <w:rPr>
          <w:rFonts w:ascii="Calibri" w:hAnsi="Calibri"/>
          <w:b w:val="0"/>
          <w:i w:val="0"/>
          <w:color w:val="2B2F38"/>
          <w:sz w:val="21"/>
        </w:rPr>
        <w:t xml:space="preserve"> whether the forecast assumes Louisiana recovery. </w:t>
      </w:r>
      <w:r>
        <w:rPr>
          <w:rFonts w:ascii="Calibri" w:hAnsi="Calibri"/>
          <w:b/>
          <w:i w:val="0"/>
          <w:color w:val="2B2F38"/>
          <w:sz w:val="21"/>
        </w:rPr>
        <w:t>Response:</w:t>
      </w:r>
      <w:r>
        <w:rPr>
          <w:rFonts w:ascii="Calibri" w:hAnsi="Calibri"/>
          <w:b w:val="0"/>
          <w:i w:val="0"/>
          <w:color w:val="2B2F38"/>
          <w:sz w:val="21"/>
        </w:rPr>
        <w:t xml:space="preserve"> it does not — no recovery beyond the ~35 basis points already measured in Q2 is built in. </w:t>
      </w:r>
      <w:r>
        <w:rPr>
          <w:rFonts w:ascii="Calibri" w:hAnsi="Calibri"/>
          <w:b/>
          <w:i w:val="0"/>
          <w:color w:val="2B2F38"/>
          <w:sz w:val="21"/>
        </w:rPr>
        <w:t>Accepted.</w:t>
      </w:r>
    </w:p>
    <w:p>
      <w:pPr>
        <w:keepNext/>
        <w:spacing w:after="40" w:before="240" w:line="274" w:lineRule="auto"/>
      </w:pPr>
      <w:r>
        <w:rPr>
          <w:rFonts w:ascii="Calibri" w:hAnsi="Calibri"/>
          <w:b/>
          <w:i w:val="0"/>
          <w:color w:val="2E7D75"/>
          <w:sz w:val="18"/>
        </w:rPr>
        <w:t>SUPPLY</w:t>
      </w:r>
    </w:p>
    <w:p>
      <w:pPr>
        <w:keepNext/>
        <w:spacing w:after="100" w:before="0" w:line="274" w:lineRule="auto"/>
      </w:pPr>
      <w:r>
        <w:rPr>
          <w:rFonts w:ascii="Calibri" w:hAnsi="Calibri"/>
          <w:b/>
          <w:i w:val="0"/>
          <w:color w:val="1F2A44"/>
          <w:sz w:val="31"/>
        </w:rPr>
        <w:t>3 · Supply review</w:t>
      </w:r>
    </w:p>
    <w:p>
      <w:pPr>
        <w:keepNext w:val="0"/>
        <w:spacing w:after="120" w:before="0" w:line="274" w:lineRule="auto"/>
      </w:pPr>
      <w:r>
        <w:rPr>
          <w:rFonts w:ascii="Calibri" w:hAnsi="Calibri"/>
          <w:b w:val="0"/>
          <w:i w:val="0"/>
          <w:color w:val="2B2F38"/>
          <w:sz w:val="21"/>
        </w:rPr>
        <w:t>Fill rate stands at 94.7% and OTIF at 93.9%, fully recovered from the November 2025 storm trough. The binding constraint for H2 is the Pack Refresh changeover in weeks 33 to 35, which consumes Battle Creek line capacity and will depress base-SKU fill for approximately two weeks.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2091"/>
        <w:gridCol w:w="2471"/>
        <w:gridCol w:w="1711"/>
      </w:tblGrid>
      <w:tr>
        <w:tc>
          <w:tcPr>
            <w:tcW w:type="dxa" w:w="3231"/>
            <w:shd w:val="clear" w:color="auto" w:fill="1F2A44"/>
          </w:tcPr>
          <w:p>
            <w:pPr>
              <w:spacing w:after="20"/>
            </w:pPr>
            <w:r>
              <w:rPr>
                <w:rFonts w:ascii="Calibri" w:hAnsi="Calibri"/>
                <w:b/>
                <w:i w:val="0"/>
                <w:color w:val="FFFFFF"/>
                <w:sz w:val="17"/>
              </w:rPr>
              <w:t>Cut reason</w:t>
            </w:r>
          </w:p>
        </w:tc>
        <w:tc>
          <w:tcPr>
            <w:tcW w:type="dxa" w:w="2091"/>
            <w:shd w:val="clear" w:color="auto" w:fill="1F2A44"/>
          </w:tcPr>
          <w:p>
            <w:pPr>
              <w:spacing w:after="20"/>
              <w:jc w:val="right"/>
            </w:pPr>
            <w:r>
              <w:rPr>
                <w:rFonts w:ascii="Calibri" w:hAnsi="Calibri"/>
                <w:b/>
                <w:i w:val="0"/>
                <w:color w:val="FFFFFF"/>
                <w:sz w:val="17"/>
              </w:rPr>
              <w:t>Units cut</w:t>
            </w:r>
          </w:p>
        </w:tc>
        <w:tc>
          <w:tcPr>
            <w:tcW w:type="dxa" w:w="2471"/>
            <w:shd w:val="clear" w:color="auto" w:fill="1F2A44"/>
          </w:tcPr>
          <w:p>
            <w:pPr>
              <w:spacing w:after="20"/>
              <w:jc w:val="right"/>
            </w:pPr>
            <w:r>
              <w:rPr>
                <w:rFonts w:ascii="Calibri" w:hAnsi="Calibri"/>
                <w:b/>
                <w:i w:val="0"/>
                <w:color w:val="FFFFFF"/>
                <w:sz w:val="17"/>
              </w:rPr>
              <w:t>Fill on those lines</w:t>
            </w:r>
          </w:p>
        </w:tc>
        <w:tc>
          <w:tcPr>
            <w:tcW w:type="dxa" w:w="1711"/>
            <w:shd w:val="clear" w:color="auto" w:fill="1F2A44"/>
          </w:tcPr>
          <w:p>
            <w:pPr>
              <w:spacing w:after="20"/>
              <w:jc w:val="right"/>
            </w:pPr>
            <w:r>
              <w:rPr>
                <w:rFonts w:ascii="Calibri" w:hAnsi="Calibri"/>
                <w:b/>
                <w:i w:val="0"/>
                <w:color w:val="FFFFFF"/>
                <w:sz w:val="17"/>
              </w:rPr>
              <w:t>Order lines</w:t>
            </w:r>
          </w:p>
        </w:tc>
      </w:tr>
      <w:tr>
        <w:tc>
          <w:tcPr>
            <w:tcW w:type="dxa" w:w="3231"/>
            <w:shd w:val="clear" w:color="auto" w:fill="FFFFFF"/>
          </w:tcPr>
          <w:p>
            <w:pPr>
              <w:spacing w:after="20"/>
            </w:pPr>
            <w:r>
              <w:rPr>
                <w:rFonts w:ascii="Calibri" w:hAnsi="Calibri"/>
                <w:b w:val="0"/>
                <w:i w:val="0"/>
                <w:color w:val="2B2F38"/>
                <w:sz w:val="18"/>
              </w:rPr>
              <w:t>No cut</w:t>
            </w:r>
          </w:p>
        </w:tc>
        <w:tc>
          <w:tcPr>
            <w:tcW w:type="dxa" w:w="2091"/>
            <w:shd w:val="clear" w:color="auto" w:fill="FFFFFF"/>
          </w:tcPr>
          <w:p>
            <w:pPr>
              <w:spacing w:after="20"/>
              <w:jc w:val="right"/>
            </w:pPr>
            <w:r>
              <w:rPr>
                <w:rFonts w:ascii="Calibri" w:hAnsi="Calibri"/>
                <w:b w:val="0"/>
                <w:i w:val="0"/>
                <w:color w:val="2B2F38"/>
                <w:sz w:val="18"/>
              </w:rPr>
              <w:t>490.9K</w:t>
            </w:r>
          </w:p>
        </w:tc>
        <w:tc>
          <w:tcPr>
            <w:tcW w:type="dxa" w:w="2471"/>
            <w:shd w:val="clear" w:color="auto" w:fill="FFFFFF"/>
          </w:tcPr>
          <w:p>
            <w:pPr>
              <w:spacing w:after="20"/>
              <w:jc w:val="right"/>
            </w:pPr>
            <w:r>
              <w:rPr>
                <w:rFonts w:ascii="Calibri" w:hAnsi="Calibri"/>
                <w:b w:val="0"/>
                <w:i w:val="0"/>
                <w:color w:val="2B2F38"/>
                <w:sz w:val="18"/>
              </w:rPr>
              <w:t>94.9%</w:t>
            </w:r>
          </w:p>
        </w:tc>
        <w:tc>
          <w:tcPr>
            <w:tcW w:type="dxa" w:w="1711"/>
            <w:shd w:val="clear" w:color="auto" w:fill="FFFFFF"/>
          </w:tcPr>
          <w:p>
            <w:pPr>
              <w:spacing w:after="20"/>
              <w:jc w:val="right"/>
            </w:pPr>
            <w:r>
              <w:rPr>
                <w:rFonts w:ascii="Calibri" w:hAnsi="Calibri"/>
                <w:b w:val="0"/>
                <w:i w:val="0"/>
                <w:color w:val="2B2F38"/>
                <w:sz w:val="18"/>
              </w:rPr>
              <w:t>14,665</w:t>
            </w:r>
          </w:p>
        </w:tc>
      </w:tr>
      <w:tr>
        <w:tc>
          <w:tcPr>
            <w:tcW w:type="dxa" w:w="3231"/>
            <w:shd w:val="clear" w:color="auto" w:fill="F5F7F9"/>
          </w:tcPr>
          <w:p>
            <w:pPr>
              <w:spacing w:after="20"/>
            </w:pPr>
            <w:r>
              <w:rPr>
                <w:rFonts w:ascii="Calibri" w:hAnsi="Calibri"/>
                <w:b w:val="0"/>
                <w:i w:val="0"/>
                <w:color w:val="2B2F38"/>
                <w:sz w:val="18"/>
              </w:rPr>
              <w:t>Storm</w:t>
            </w:r>
          </w:p>
        </w:tc>
        <w:tc>
          <w:tcPr>
            <w:tcW w:type="dxa" w:w="2091"/>
            <w:shd w:val="clear" w:color="auto" w:fill="F5F7F9"/>
          </w:tcPr>
          <w:p>
            <w:pPr>
              <w:spacing w:after="20"/>
              <w:jc w:val="right"/>
            </w:pPr>
            <w:r>
              <w:rPr>
                <w:rFonts w:ascii="Calibri" w:hAnsi="Calibri"/>
                <w:b w:val="0"/>
                <w:i w:val="0"/>
                <w:color w:val="2B2F38"/>
                <w:sz w:val="18"/>
              </w:rPr>
              <w:t>192.8K</w:t>
            </w:r>
          </w:p>
        </w:tc>
        <w:tc>
          <w:tcPr>
            <w:tcW w:type="dxa" w:w="2471"/>
            <w:shd w:val="clear" w:color="auto" w:fill="F5F7F9"/>
          </w:tcPr>
          <w:p>
            <w:pPr>
              <w:spacing w:after="20"/>
              <w:jc w:val="right"/>
            </w:pPr>
            <w:r>
              <w:rPr>
                <w:rFonts w:ascii="Calibri" w:hAnsi="Calibri"/>
                <w:b w:val="0"/>
                <w:i w:val="0"/>
                <w:color w:val="2B2F38"/>
                <w:sz w:val="18"/>
              </w:rPr>
              <w:t>53.7%</w:t>
            </w:r>
          </w:p>
        </w:tc>
        <w:tc>
          <w:tcPr>
            <w:tcW w:type="dxa" w:w="1711"/>
            <w:shd w:val="clear" w:color="auto" w:fill="F5F7F9"/>
          </w:tcPr>
          <w:p>
            <w:pPr>
              <w:spacing w:after="20"/>
              <w:jc w:val="right"/>
            </w:pPr>
            <w:r>
              <w:rPr>
                <w:rFonts w:ascii="Calibri" w:hAnsi="Calibri"/>
                <w:b w:val="0"/>
                <w:i w:val="0"/>
                <w:color w:val="2B2F38"/>
                <w:sz w:val="18"/>
              </w:rPr>
              <w:t>450</w:t>
            </w:r>
          </w:p>
        </w:tc>
      </w:tr>
      <w:tr>
        <w:tc>
          <w:tcPr>
            <w:tcW w:type="dxa" w:w="3231"/>
            <w:shd w:val="clear" w:color="auto" w:fill="FFFFFF"/>
          </w:tcPr>
          <w:p>
            <w:pPr>
              <w:spacing w:after="20"/>
            </w:pPr>
            <w:r>
              <w:rPr>
                <w:rFonts w:ascii="Calibri" w:hAnsi="Calibri"/>
                <w:b w:val="0"/>
                <w:i w:val="0"/>
                <w:color w:val="2B2F38"/>
                <w:sz w:val="18"/>
              </w:rPr>
              <w:t>Production_Lag</w:t>
            </w:r>
          </w:p>
        </w:tc>
        <w:tc>
          <w:tcPr>
            <w:tcW w:type="dxa" w:w="2091"/>
            <w:shd w:val="clear" w:color="auto" w:fill="FFFFFF"/>
          </w:tcPr>
          <w:p>
            <w:pPr>
              <w:spacing w:after="20"/>
              <w:jc w:val="right"/>
            </w:pPr>
            <w:r>
              <w:rPr>
                <w:rFonts w:ascii="Calibri" w:hAnsi="Calibri"/>
                <w:b w:val="0"/>
                <w:i w:val="0"/>
                <w:color w:val="2B2F38"/>
                <w:sz w:val="18"/>
              </w:rPr>
              <w:t>17.7K</w:t>
            </w:r>
          </w:p>
        </w:tc>
        <w:tc>
          <w:tcPr>
            <w:tcW w:type="dxa" w:w="2471"/>
            <w:shd w:val="clear" w:color="auto" w:fill="FFFFFF"/>
          </w:tcPr>
          <w:p>
            <w:pPr>
              <w:spacing w:after="20"/>
              <w:jc w:val="right"/>
            </w:pPr>
            <w:r>
              <w:rPr>
                <w:rFonts w:ascii="Calibri" w:hAnsi="Calibri"/>
                <w:b w:val="0"/>
                <w:i w:val="0"/>
                <w:color w:val="2B2F38"/>
                <w:sz w:val="18"/>
              </w:rPr>
              <w:t>83.6%</w:t>
            </w:r>
          </w:p>
        </w:tc>
        <w:tc>
          <w:tcPr>
            <w:tcW w:type="dxa" w:w="1711"/>
            <w:shd w:val="clear" w:color="auto" w:fill="FFFFFF"/>
          </w:tcPr>
          <w:p>
            <w:pPr>
              <w:spacing w:after="20"/>
              <w:jc w:val="right"/>
            </w:pPr>
            <w:r>
              <w:rPr>
                <w:rFonts w:ascii="Calibri" w:hAnsi="Calibri"/>
                <w:b w:val="0"/>
                <w:i w:val="0"/>
                <w:color w:val="2B2F38"/>
                <w:sz w:val="18"/>
              </w:rPr>
              <w:t>127</w:t>
            </w:r>
          </w:p>
        </w:tc>
      </w:tr>
      <w:tr>
        <w:tc>
          <w:tcPr>
            <w:tcW w:type="dxa" w:w="3231"/>
            <w:shd w:val="clear" w:color="auto" w:fill="F5F7F9"/>
          </w:tcPr>
          <w:p>
            <w:pPr>
              <w:spacing w:after="20"/>
            </w:pPr>
            <w:r>
              <w:rPr>
                <w:rFonts w:ascii="Calibri" w:hAnsi="Calibri"/>
                <w:b w:val="0"/>
                <w:i w:val="0"/>
                <w:color w:val="2B2F38"/>
                <w:sz w:val="18"/>
              </w:rPr>
              <w:t>Quality_Hold</w:t>
            </w:r>
          </w:p>
        </w:tc>
        <w:tc>
          <w:tcPr>
            <w:tcW w:type="dxa" w:w="2091"/>
            <w:shd w:val="clear" w:color="auto" w:fill="F5F7F9"/>
          </w:tcPr>
          <w:p>
            <w:pPr>
              <w:spacing w:after="20"/>
              <w:jc w:val="right"/>
            </w:pPr>
            <w:r>
              <w:rPr>
                <w:rFonts w:ascii="Calibri" w:hAnsi="Calibri"/>
                <w:b w:val="0"/>
                <w:i w:val="0"/>
                <w:color w:val="2B2F38"/>
                <w:sz w:val="18"/>
              </w:rPr>
              <w:t>10.1K</w:t>
            </w:r>
          </w:p>
        </w:tc>
        <w:tc>
          <w:tcPr>
            <w:tcW w:type="dxa" w:w="2471"/>
            <w:shd w:val="clear" w:color="auto" w:fill="F5F7F9"/>
          </w:tcPr>
          <w:p>
            <w:pPr>
              <w:spacing w:after="20"/>
              <w:jc w:val="right"/>
            </w:pPr>
            <w:r>
              <w:rPr>
                <w:rFonts w:ascii="Calibri" w:hAnsi="Calibri"/>
                <w:b w:val="0"/>
                <w:i w:val="0"/>
                <w:color w:val="2B2F38"/>
                <w:sz w:val="18"/>
              </w:rPr>
              <w:t>83.0%</w:t>
            </w:r>
          </w:p>
        </w:tc>
        <w:tc>
          <w:tcPr>
            <w:tcW w:type="dxa" w:w="1711"/>
            <w:shd w:val="clear" w:color="auto" w:fill="F5F7F9"/>
          </w:tcPr>
          <w:p>
            <w:pPr>
              <w:spacing w:after="20"/>
              <w:jc w:val="right"/>
            </w:pPr>
            <w:r>
              <w:rPr>
                <w:rFonts w:ascii="Calibri" w:hAnsi="Calibri"/>
                <w:b w:val="0"/>
                <w:i w:val="0"/>
                <w:color w:val="2B2F38"/>
                <w:sz w:val="18"/>
              </w:rPr>
              <w:t>76</w:t>
            </w:r>
          </w:p>
        </w:tc>
      </w:tr>
      <w:tr>
        <w:tc>
          <w:tcPr>
            <w:tcW w:type="dxa" w:w="3231"/>
            <w:shd w:val="clear" w:color="auto" w:fill="FFFFFF"/>
          </w:tcPr>
          <w:p>
            <w:pPr>
              <w:spacing w:after="20"/>
            </w:pPr>
            <w:r>
              <w:rPr>
                <w:rFonts w:ascii="Calibri" w:hAnsi="Calibri"/>
                <w:b w:val="0"/>
                <w:i w:val="0"/>
                <w:color w:val="2B2F38"/>
                <w:sz w:val="18"/>
              </w:rPr>
              <w:t>Launch_Allocation</w:t>
            </w:r>
          </w:p>
        </w:tc>
        <w:tc>
          <w:tcPr>
            <w:tcW w:type="dxa" w:w="2091"/>
            <w:shd w:val="clear" w:color="auto" w:fill="FFFFFF"/>
          </w:tcPr>
          <w:p>
            <w:pPr>
              <w:spacing w:after="20"/>
              <w:jc w:val="right"/>
            </w:pPr>
            <w:r>
              <w:rPr>
                <w:rFonts w:ascii="Calibri" w:hAnsi="Calibri"/>
                <w:b w:val="0"/>
                <w:i w:val="0"/>
                <w:color w:val="2B2F38"/>
                <w:sz w:val="18"/>
              </w:rPr>
              <w:t>6.6K</w:t>
            </w:r>
          </w:p>
        </w:tc>
        <w:tc>
          <w:tcPr>
            <w:tcW w:type="dxa" w:w="2471"/>
            <w:shd w:val="clear" w:color="auto" w:fill="FFFFFF"/>
          </w:tcPr>
          <w:p>
            <w:pPr>
              <w:spacing w:after="20"/>
              <w:jc w:val="right"/>
            </w:pPr>
            <w:r>
              <w:rPr>
                <w:rFonts w:ascii="Calibri" w:hAnsi="Calibri"/>
                <w:b w:val="0"/>
                <w:i w:val="0"/>
                <w:color w:val="2B2F38"/>
                <w:sz w:val="18"/>
              </w:rPr>
              <w:t>83.4%</w:t>
            </w:r>
          </w:p>
        </w:tc>
        <w:tc>
          <w:tcPr>
            <w:tcW w:type="dxa" w:w="1711"/>
            <w:shd w:val="clear" w:color="auto" w:fill="FFFFFF"/>
          </w:tcPr>
          <w:p>
            <w:pPr>
              <w:spacing w:after="20"/>
              <w:jc w:val="right"/>
            </w:pPr>
            <w:r>
              <w:rPr>
                <w:rFonts w:ascii="Calibri" w:hAnsi="Calibri"/>
                <w:b w:val="0"/>
                <w:i w:val="0"/>
                <w:color w:val="2B2F38"/>
                <w:sz w:val="18"/>
              </w:rPr>
              <w:t>74</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shipments, order lines since October 2025.</w:t>
      </w:r>
    </w:p>
    <w:tbl>
      <w:tblPr>
        <w:tblW w:w="9504" w:type="dxa"/>
        <w:tblBorders>
          <w:top w:val="none"/>
          <w:left w:val="single" w:sz="24" w:color="B98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Point raised by VP Sales NA</w:t>
            </w:r>
          </w:p>
          <w:p>
            <w:pPr>
              <w:spacing w:after="40" w:line="274" w:lineRule="auto"/>
            </w:pPr>
            <w:r>
              <w:rPr>
                <w:rFonts w:ascii="Calibri" w:hAnsi="Calibri"/>
                <w:b w:val="0"/>
                <w:i w:val="0"/>
                <w:color w:val="2B2F38"/>
                <w:sz w:val="20"/>
              </w:rPr>
              <w:t>Launch_Allocation cuts are a deliberate choice to protect launch fill, but they currently surface to customers as a service miss. Agreed action: make them a visible line in the demand plan from the next cycle.</w:t>
            </w:r>
          </w:p>
        </w:tc>
      </w:tr>
    </w:tbl>
    <w:p>
      <w:pPr>
        <w:keepNext w:val="0"/>
        <w:spacing w:after="80" w:before="0" w:line="274" w:lineRule="auto"/>
      </w:pPr>
    </w:p>
    <w:p>
      <w:pPr>
        <w:keepNext/>
        <w:spacing w:after="40" w:before="240" w:line="274" w:lineRule="auto"/>
      </w:pPr>
      <w:r>
        <w:rPr>
          <w:rFonts w:ascii="Calibri" w:hAnsi="Calibri"/>
          <w:b/>
          <w:i w:val="0"/>
          <w:color w:val="2E7D75"/>
          <w:sz w:val="18"/>
        </w:rPr>
        <w:t>PRODUCT</w:t>
      </w:r>
    </w:p>
    <w:p>
      <w:pPr>
        <w:keepNext/>
        <w:spacing w:after="100" w:before="0" w:line="274" w:lineRule="auto"/>
      </w:pPr>
      <w:r>
        <w:rPr>
          <w:rFonts w:ascii="Calibri" w:hAnsi="Calibri"/>
          <w:b/>
          <w:i w:val="0"/>
          <w:color w:val="1F2A44"/>
          <w:sz w:val="31"/>
        </w:rPr>
        <w:t>4 · Innovation review</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231"/>
        <w:gridCol w:w="1521"/>
        <w:gridCol w:w="1901"/>
        <w:gridCol w:w="1521"/>
        <w:gridCol w:w="1331"/>
      </w:tblGrid>
      <w:tr>
        <w:tc>
          <w:tcPr>
            <w:tcW w:type="dxa" w:w="3231"/>
            <w:shd w:val="clear" w:color="auto" w:fill="1F2A44"/>
          </w:tcPr>
          <w:p>
            <w:pPr>
              <w:spacing w:after="20"/>
            </w:pPr>
            <w:r>
              <w:rPr>
                <w:rFonts w:ascii="Calibri" w:hAnsi="Calibri"/>
                <w:b/>
                <w:i w:val="0"/>
                <w:color w:val="FFFFFF"/>
                <w:sz w:val="17"/>
              </w:rPr>
              <w:t>Concept</w:t>
            </w:r>
          </w:p>
        </w:tc>
        <w:tc>
          <w:tcPr>
            <w:tcW w:type="dxa" w:w="1521"/>
            <w:shd w:val="clear" w:color="auto" w:fill="1F2A44"/>
          </w:tcPr>
          <w:p>
            <w:pPr>
              <w:spacing w:after="20"/>
            </w:pPr>
            <w:r>
              <w:rPr>
                <w:rFonts w:ascii="Calibri" w:hAnsi="Calibri"/>
                <w:b/>
                <w:i w:val="0"/>
                <w:color w:val="FFFFFF"/>
                <w:sz w:val="17"/>
              </w:rPr>
              <w:t>Brand</w:t>
            </w:r>
          </w:p>
        </w:tc>
        <w:tc>
          <w:tcPr>
            <w:tcW w:type="dxa" w:w="1901"/>
            <w:shd w:val="clear" w:color="auto" w:fill="1F2A44"/>
          </w:tcPr>
          <w:p>
            <w:pPr>
              <w:spacing w:after="20"/>
            </w:pPr>
            <w:r>
              <w:rPr>
                <w:rFonts w:ascii="Calibri" w:hAnsi="Calibri"/>
                <w:b/>
                <w:i w:val="0"/>
                <w:color w:val="FFFFFF"/>
                <w:sz w:val="17"/>
              </w:rPr>
              <w:t>Stage</w:t>
            </w:r>
          </w:p>
        </w:tc>
        <w:tc>
          <w:tcPr>
            <w:tcW w:type="dxa" w:w="1521"/>
            <w:shd w:val="clear" w:color="auto" w:fill="1F2A44"/>
          </w:tcPr>
          <w:p>
            <w:pPr>
              <w:spacing w:after="20"/>
              <w:jc w:val="right"/>
            </w:pPr>
            <w:r>
              <w:rPr>
                <w:rFonts w:ascii="Calibri" w:hAnsi="Calibri"/>
                <w:b/>
                <w:i w:val="0"/>
                <w:color w:val="FFFFFF"/>
                <w:sz w:val="17"/>
              </w:rPr>
              <w:t>Planned launch</w:t>
            </w:r>
          </w:p>
        </w:tc>
        <w:tc>
          <w:tcPr>
            <w:tcW w:type="dxa" w:w="1331"/>
            <w:shd w:val="clear" w:color="auto" w:fill="1F2A44"/>
          </w:tcPr>
          <w:p>
            <w:pPr>
              <w:spacing w:after="20"/>
              <w:jc w:val="right"/>
            </w:pPr>
            <w:r>
              <w:rPr>
                <w:rFonts w:ascii="Calibri" w:hAnsi="Calibri"/>
                <w:b/>
                <w:i w:val="0"/>
                <w:color w:val="FFFFFF"/>
                <w:sz w:val="17"/>
              </w:rPr>
              <w:t>Year-1</w:t>
            </w:r>
          </w:p>
        </w:tc>
      </w:tr>
      <w:tr>
        <w:tc>
          <w:tcPr>
            <w:tcW w:type="dxa" w:w="3231"/>
            <w:shd w:val="clear" w:color="auto" w:fill="FFFFFF"/>
          </w:tcPr>
          <w:p>
            <w:pPr>
              <w:spacing w:after="20"/>
            </w:pPr>
            <w:r>
              <w:rPr>
                <w:rFonts w:ascii="Calibri" w:hAnsi="Calibri"/>
                <w:b w:val="0"/>
                <w:i w:val="0"/>
                <w:color w:val="2B2F38"/>
                <w:sz w:val="18"/>
              </w:rPr>
              <w:t>Crunchwell Pack Refresh - Hero SKUs</w:t>
            </w:r>
          </w:p>
        </w:tc>
        <w:tc>
          <w:tcPr>
            <w:tcW w:type="dxa" w:w="1521"/>
            <w:shd w:val="clear" w:color="auto" w:fill="FFFFFF"/>
          </w:tcPr>
          <w:p>
            <w:pPr>
              <w:spacing w:after="20"/>
            </w:pPr>
            <w:r>
              <w:rPr>
                <w:rFonts w:ascii="Calibri" w:hAnsi="Calibri"/>
                <w:b w:val="0"/>
                <w:i w:val="0"/>
                <w:color w:val="2B2F38"/>
                <w:sz w:val="18"/>
              </w:rPr>
              <w:t>Crunchwell</w:t>
            </w:r>
          </w:p>
        </w:tc>
        <w:tc>
          <w:tcPr>
            <w:tcW w:type="dxa" w:w="1901"/>
            <w:shd w:val="clear" w:color="auto" w:fill="FFFFFF"/>
          </w:tcPr>
          <w:p>
            <w:pPr>
              <w:spacing w:after="20"/>
            </w:pPr>
            <w:r>
              <w:rPr>
                <w:rFonts w:ascii="Calibri" w:hAnsi="Calibri"/>
                <w:b w:val="0"/>
                <w:i w:val="0"/>
                <w:color w:val="2B2F38"/>
                <w:sz w:val="18"/>
              </w:rPr>
              <w:t>Stage-5 Launch Prep</w:t>
            </w:r>
          </w:p>
        </w:tc>
        <w:tc>
          <w:tcPr>
            <w:tcW w:type="dxa" w:w="1521"/>
            <w:shd w:val="clear" w:color="auto" w:fill="FFFFFF"/>
          </w:tcPr>
          <w:p>
            <w:pPr>
              <w:spacing w:after="20"/>
              <w:jc w:val="right"/>
            </w:pPr>
            <w:r>
              <w:rPr>
                <w:rFonts w:ascii="Calibri" w:hAnsi="Calibri"/>
                <w:b w:val="0"/>
                <w:i w:val="0"/>
                <w:color w:val="2B2F38"/>
                <w:sz w:val="18"/>
              </w:rPr>
              <w:t>2026-08-15</w:t>
            </w:r>
          </w:p>
        </w:tc>
        <w:tc>
          <w:tcPr>
            <w:tcW w:type="dxa" w:w="1331"/>
            <w:shd w:val="clear" w:color="auto" w:fill="FFFFFF"/>
          </w:tcPr>
          <w:p>
            <w:pPr>
              <w:spacing w:after="20"/>
              <w:jc w:val="right"/>
            </w:pPr>
            <w:r>
              <w:rPr>
                <w:rFonts w:ascii="Calibri" w:hAnsi="Calibri"/>
                <w:b w:val="0"/>
                <w:i w:val="0"/>
                <w:color w:val="2B2F38"/>
                <w:sz w:val="18"/>
              </w:rPr>
              <w:t>$28.0M</w:t>
            </w:r>
          </w:p>
        </w:tc>
      </w:tr>
      <w:tr>
        <w:tc>
          <w:tcPr>
            <w:tcW w:type="dxa" w:w="3231"/>
            <w:shd w:val="clear" w:color="auto" w:fill="F5F7F9"/>
          </w:tcPr>
          <w:p>
            <w:pPr>
              <w:spacing w:after="20"/>
            </w:pPr>
            <w:r>
              <w:rPr>
                <w:rFonts w:ascii="Calibri" w:hAnsi="Calibri"/>
                <w:b w:val="0"/>
                <w:i w:val="0"/>
                <w:color w:val="2B2F38"/>
                <w:sz w:val="18"/>
              </w:rPr>
              <w:t>ProteinPeak Cinnamon Crunch</w:t>
            </w:r>
          </w:p>
        </w:tc>
        <w:tc>
          <w:tcPr>
            <w:tcW w:type="dxa" w:w="1521"/>
            <w:shd w:val="clear" w:color="auto" w:fill="F5F7F9"/>
          </w:tcPr>
          <w:p>
            <w:pPr>
              <w:spacing w:after="20"/>
            </w:pPr>
            <w:r>
              <w:rPr>
                <w:rFonts w:ascii="Calibri" w:hAnsi="Calibri"/>
                <w:b w:val="0"/>
                <w:i w:val="0"/>
                <w:color w:val="2B2F38"/>
                <w:sz w:val="18"/>
              </w:rPr>
              <w:t>ProteinPeak</w:t>
            </w:r>
          </w:p>
        </w:tc>
        <w:tc>
          <w:tcPr>
            <w:tcW w:type="dxa" w:w="1901"/>
            <w:shd w:val="clear" w:color="auto" w:fill="F5F7F9"/>
          </w:tcPr>
          <w:p>
            <w:pPr>
              <w:spacing w:after="20"/>
            </w:pPr>
            <w:r>
              <w:rPr>
                <w:rFonts w:ascii="Calibri" w:hAnsi="Calibri"/>
                <w:b w:val="0"/>
                <w:i w:val="0"/>
                <w:color w:val="2B2F38"/>
                <w:sz w:val="18"/>
              </w:rPr>
              <w:t>Stage-6 In-Market</w:t>
            </w:r>
          </w:p>
        </w:tc>
        <w:tc>
          <w:tcPr>
            <w:tcW w:type="dxa" w:w="1521"/>
            <w:shd w:val="clear" w:color="auto" w:fill="F5F7F9"/>
          </w:tcPr>
          <w:p>
            <w:pPr>
              <w:spacing w:after="20"/>
              <w:jc w:val="right"/>
            </w:pPr>
            <w:r>
              <w:rPr>
                <w:rFonts w:ascii="Calibri" w:hAnsi="Calibri"/>
                <w:b w:val="0"/>
                <w:i w:val="0"/>
                <w:color w:val="2B2F38"/>
                <w:sz w:val="18"/>
              </w:rPr>
              <w:t>2026-04-20</w:t>
            </w:r>
          </w:p>
        </w:tc>
        <w:tc>
          <w:tcPr>
            <w:tcW w:type="dxa" w:w="1331"/>
            <w:shd w:val="clear" w:color="auto" w:fill="F5F7F9"/>
          </w:tcPr>
          <w:p>
            <w:pPr>
              <w:spacing w:after="20"/>
              <w:jc w:val="right"/>
            </w:pPr>
            <w:r>
              <w:rPr>
                <w:rFonts w:ascii="Calibri" w:hAnsi="Calibri"/>
                <w:b w:val="0"/>
                <w:i w:val="0"/>
                <w:color w:val="2B2F38"/>
                <w:sz w:val="18"/>
              </w:rPr>
              <w:t>$14.0M</w:t>
            </w:r>
          </w:p>
        </w:tc>
      </w:tr>
      <w:tr>
        <w:tc>
          <w:tcPr>
            <w:tcW w:type="dxa" w:w="3231"/>
            <w:shd w:val="clear" w:color="auto" w:fill="FFFFFF"/>
          </w:tcPr>
          <w:p>
            <w:pPr>
              <w:spacing w:after="20"/>
            </w:pPr>
            <w:r>
              <w:rPr>
                <w:rFonts w:ascii="Calibri" w:hAnsi="Calibri"/>
                <w:b w:val="0"/>
                <w:i w:val="0"/>
                <w:color w:val="2B2F38"/>
                <w:sz w:val="18"/>
              </w:rPr>
              <w:t>ProteinPeak Cocoa Almond</w:t>
            </w:r>
          </w:p>
        </w:tc>
        <w:tc>
          <w:tcPr>
            <w:tcW w:type="dxa" w:w="1521"/>
            <w:shd w:val="clear" w:color="auto" w:fill="FFFFFF"/>
          </w:tcPr>
          <w:p>
            <w:pPr>
              <w:spacing w:after="20"/>
            </w:pPr>
            <w:r>
              <w:rPr>
                <w:rFonts w:ascii="Calibri" w:hAnsi="Calibri"/>
                <w:b w:val="0"/>
                <w:i w:val="0"/>
                <w:color w:val="2B2F38"/>
                <w:sz w:val="18"/>
              </w:rPr>
              <w:t>ProteinPeak</w:t>
            </w:r>
          </w:p>
        </w:tc>
        <w:tc>
          <w:tcPr>
            <w:tcW w:type="dxa" w:w="1901"/>
            <w:shd w:val="clear" w:color="auto" w:fill="FFFFFF"/>
          </w:tcPr>
          <w:p>
            <w:pPr>
              <w:spacing w:after="20"/>
            </w:pPr>
            <w:r>
              <w:rPr>
                <w:rFonts w:ascii="Calibri" w:hAnsi="Calibri"/>
                <w:b w:val="0"/>
                <w:i w:val="0"/>
                <w:color w:val="2B2F38"/>
                <w:sz w:val="18"/>
              </w:rPr>
              <w:t>Stage-6 In-Market</w:t>
            </w:r>
          </w:p>
        </w:tc>
        <w:tc>
          <w:tcPr>
            <w:tcW w:type="dxa" w:w="1521"/>
            <w:shd w:val="clear" w:color="auto" w:fill="FFFFFF"/>
          </w:tcPr>
          <w:p>
            <w:pPr>
              <w:spacing w:after="20"/>
              <w:jc w:val="right"/>
            </w:pPr>
            <w:r>
              <w:rPr>
                <w:rFonts w:ascii="Calibri" w:hAnsi="Calibri"/>
                <w:b w:val="0"/>
                <w:i w:val="0"/>
                <w:color w:val="2B2F38"/>
                <w:sz w:val="18"/>
              </w:rPr>
              <w:t>2026-04-20</w:t>
            </w:r>
          </w:p>
        </w:tc>
        <w:tc>
          <w:tcPr>
            <w:tcW w:type="dxa" w:w="1331"/>
            <w:shd w:val="clear" w:color="auto" w:fill="FFFFFF"/>
          </w:tcPr>
          <w:p>
            <w:pPr>
              <w:spacing w:after="20"/>
              <w:jc w:val="right"/>
            </w:pPr>
            <w:r>
              <w:rPr>
                <w:rFonts w:ascii="Calibri" w:hAnsi="Calibri"/>
                <w:b w:val="0"/>
                <w:i w:val="0"/>
                <w:color w:val="2B2F38"/>
                <w:sz w:val="18"/>
              </w:rPr>
              <w:t>$10.0M</w:t>
            </w:r>
          </w:p>
        </w:tc>
      </w:tr>
      <w:tr>
        <w:tc>
          <w:tcPr>
            <w:tcW w:type="dxa" w:w="3231"/>
            <w:shd w:val="clear" w:color="auto" w:fill="F5F7F9"/>
          </w:tcPr>
          <w:p>
            <w:pPr>
              <w:spacing w:after="20"/>
            </w:pPr>
            <w:r>
              <w:rPr>
                <w:rFonts w:ascii="Calibri" w:hAnsi="Calibri"/>
                <w:b w:val="0"/>
                <w:i w:val="0"/>
                <w:color w:val="2B2F38"/>
                <w:sz w:val="18"/>
              </w:rPr>
              <w:t>HoneyNest Birthday Cake LTO</w:t>
            </w:r>
          </w:p>
        </w:tc>
        <w:tc>
          <w:tcPr>
            <w:tcW w:type="dxa" w:w="1521"/>
            <w:shd w:val="clear" w:color="auto" w:fill="F5F7F9"/>
          </w:tcPr>
          <w:p>
            <w:pPr>
              <w:spacing w:after="20"/>
            </w:pPr>
            <w:r>
              <w:rPr>
                <w:rFonts w:ascii="Calibri" w:hAnsi="Calibri"/>
                <w:b w:val="0"/>
                <w:i w:val="0"/>
                <w:color w:val="2B2F38"/>
                <w:sz w:val="18"/>
              </w:rPr>
              <w:t>HoneyNest</w:t>
            </w:r>
          </w:p>
        </w:tc>
        <w:tc>
          <w:tcPr>
            <w:tcW w:type="dxa" w:w="1901"/>
            <w:shd w:val="clear" w:color="auto" w:fill="F5F7F9"/>
          </w:tcPr>
          <w:p>
            <w:pPr>
              <w:spacing w:after="20"/>
            </w:pPr>
            <w:r>
              <w:rPr>
                <w:rFonts w:ascii="Calibri" w:hAnsi="Calibri"/>
                <w:b w:val="0"/>
                <w:i w:val="0"/>
                <w:color w:val="2B2F38"/>
                <w:sz w:val="18"/>
              </w:rPr>
              <w:t>Stage-4 Pre-Launch</w:t>
            </w:r>
          </w:p>
        </w:tc>
        <w:tc>
          <w:tcPr>
            <w:tcW w:type="dxa" w:w="1521"/>
            <w:shd w:val="clear" w:color="auto" w:fill="F5F7F9"/>
          </w:tcPr>
          <w:p>
            <w:pPr>
              <w:spacing w:after="20"/>
              <w:jc w:val="right"/>
            </w:pPr>
            <w:r>
              <w:rPr>
                <w:rFonts w:ascii="Calibri" w:hAnsi="Calibri"/>
                <w:b w:val="0"/>
                <w:i w:val="0"/>
                <w:color w:val="2B2F38"/>
                <w:sz w:val="18"/>
              </w:rPr>
              <w:t>2026-Q4</w:t>
            </w:r>
          </w:p>
        </w:tc>
        <w:tc>
          <w:tcPr>
            <w:tcW w:type="dxa" w:w="1331"/>
            <w:shd w:val="clear" w:color="auto" w:fill="F5F7F9"/>
          </w:tcPr>
          <w:p>
            <w:pPr>
              <w:spacing w:after="20"/>
              <w:jc w:val="right"/>
            </w:pPr>
            <w:r>
              <w:rPr>
                <w:rFonts w:ascii="Calibri" w:hAnsi="Calibri"/>
                <w:b w:val="0"/>
                <w:i w:val="0"/>
                <w:color w:val="2B2F38"/>
                <w:sz w:val="18"/>
              </w:rPr>
              <w:t>$2.4M</w:t>
            </w:r>
          </w:p>
        </w:tc>
      </w:tr>
      <w:tr>
        <w:tc>
          <w:tcPr>
            <w:tcW w:type="dxa" w:w="3231"/>
            <w:shd w:val="clear" w:color="auto" w:fill="FFFFFF"/>
          </w:tcPr>
          <w:p>
            <w:pPr>
              <w:spacing w:after="20"/>
            </w:pPr>
            <w:r>
              <w:rPr>
                <w:rFonts w:ascii="Calibri" w:hAnsi="Calibri"/>
                <w:b w:val="0"/>
                <w:i w:val="0"/>
                <w:color w:val="2B2F38"/>
                <w:sz w:val="18"/>
              </w:rPr>
              <w:t>MorningOats Cup Pumpkin Spice LTO</w:t>
            </w:r>
          </w:p>
        </w:tc>
        <w:tc>
          <w:tcPr>
            <w:tcW w:type="dxa" w:w="1521"/>
            <w:shd w:val="clear" w:color="auto" w:fill="FFFFFF"/>
          </w:tcPr>
          <w:p>
            <w:pPr>
              <w:spacing w:after="20"/>
            </w:pPr>
            <w:r>
              <w:rPr>
                <w:rFonts w:ascii="Calibri" w:hAnsi="Calibri"/>
                <w:b w:val="0"/>
                <w:i w:val="0"/>
                <w:color w:val="2B2F38"/>
                <w:sz w:val="18"/>
              </w:rPr>
              <w:t>MorningOats</w:t>
            </w:r>
          </w:p>
        </w:tc>
        <w:tc>
          <w:tcPr>
            <w:tcW w:type="dxa" w:w="1901"/>
            <w:shd w:val="clear" w:color="auto" w:fill="FFFFFF"/>
          </w:tcPr>
          <w:p>
            <w:pPr>
              <w:spacing w:after="20"/>
            </w:pPr>
            <w:r>
              <w:rPr>
                <w:rFonts w:ascii="Calibri" w:hAnsi="Calibri"/>
                <w:b w:val="0"/>
                <w:i w:val="0"/>
                <w:color w:val="2B2F38"/>
                <w:sz w:val="18"/>
              </w:rPr>
              <w:t>Stage-4 Pre-Launch</w:t>
            </w:r>
          </w:p>
        </w:tc>
        <w:tc>
          <w:tcPr>
            <w:tcW w:type="dxa" w:w="1521"/>
            <w:shd w:val="clear" w:color="auto" w:fill="FFFFFF"/>
          </w:tcPr>
          <w:p>
            <w:pPr>
              <w:spacing w:after="20"/>
              <w:jc w:val="right"/>
            </w:pPr>
            <w:r>
              <w:rPr>
                <w:rFonts w:ascii="Calibri" w:hAnsi="Calibri"/>
                <w:b w:val="0"/>
                <w:i w:val="0"/>
                <w:color w:val="2B2F38"/>
                <w:sz w:val="18"/>
              </w:rPr>
              <w:t>2026-Q3</w:t>
            </w:r>
          </w:p>
        </w:tc>
        <w:tc>
          <w:tcPr>
            <w:tcW w:type="dxa" w:w="1331"/>
            <w:shd w:val="clear" w:color="auto" w:fill="FFFFFF"/>
          </w:tcPr>
          <w:p>
            <w:pPr>
              <w:spacing w:after="20"/>
              <w:jc w:val="right"/>
            </w:pPr>
            <w:r>
              <w:rPr>
                <w:rFonts w:ascii="Calibri" w:hAnsi="Calibri"/>
                <w:b w:val="0"/>
                <w:i w:val="0"/>
                <w:color w:val="2B2F38"/>
                <w:sz w:val="18"/>
              </w:rPr>
              <w:t>$1.8M</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seeds/innovation_pipeline.csv.</w:t>
      </w:r>
    </w:p>
    <w:p>
      <w:pPr>
        <w:keepNext/>
        <w:spacing w:after="40" w:before="240" w:line="274" w:lineRule="auto"/>
      </w:pPr>
      <w:r>
        <w:rPr>
          <w:rFonts w:ascii="Calibri" w:hAnsi="Calibri"/>
          <w:b/>
          <w:i w:val="0"/>
          <w:color w:val="2E7D75"/>
          <w:sz w:val="18"/>
        </w:rPr>
        <w:t>RECONCILIATION</w:t>
      </w:r>
    </w:p>
    <w:p>
      <w:pPr>
        <w:keepNext/>
        <w:spacing w:after="100" w:before="0" w:line="274" w:lineRule="auto"/>
      </w:pPr>
      <w:r>
        <w:rPr>
          <w:rFonts w:ascii="Calibri" w:hAnsi="Calibri"/>
          <w:b/>
          <w:i w:val="0"/>
          <w:color w:val="1F2A44"/>
          <w:sz w:val="31"/>
        </w:rPr>
        <w:t>5 · From $384M to $379M</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2"/>
        <w:gridCol w:w="1711"/>
        <w:gridCol w:w="3041"/>
      </w:tblGrid>
      <w:tr>
        <w:tc>
          <w:tcPr>
            <w:tcW w:type="dxa" w:w="4752"/>
            <w:shd w:val="clear" w:color="auto" w:fill="1F2A44"/>
          </w:tcPr>
          <w:p>
            <w:pPr>
              <w:spacing w:after="20"/>
            </w:pPr>
            <w:r>
              <w:rPr>
                <w:rFonts w:ascii="Calibri" w:hAnsi="Calibri"/>
                <w:b/>
                <w:i w:val="0"/>
                <w:color w:val="FFFFFF"/>
                <w:sz w:val="17"/>
              </w:rPr>
              <w:t>Step</w:t>
            </w:r>
          </w:p>
        </w:tc>
        <w:tc>
          <w:tcPr>
            <w:tcW w:type="dxa" w:w="1711"/>
            <w:shd w:val="clear" w:color="auto" w:fill="1F2A44"/>
          </w:tcPr>
          <w:p>
            <w:pPr>
              <w:spacing w:after="20"/>
              <w:jc w:val="right"/>
            </w:pPr>
            <w:r>
              <w:rPr>
                <w:rFonts w:ascii="Calibri" w:hAnsi="Calibri"/>
                <w:b/>
                <w:i w:val="0"/>
                <w:color w:val="FFFFFF"/>
                <w:sz w:val="17"/>
              </w:rPr>
              <w:t>H2 $M</w:t>
            </w:r>
          </w:p>
        </w:tc>
        <w:tc>
          <w:tcPr>
            <w:tcW w:type="dxa" w:w="3041"/>
            <w:shd w:val="clear" w:color="auto" w:fill="1F2A44"/>
          </w:tcPr>
          <w:p>
            <w:pPr>
              <w:spacing w:after="20"/>
              <w:jc w:val="right"/>
            </w:pPr>
            <w:r>
              <w:rPr>
                <w:rFonts w:ascii="Calibri" w:hAnsi="Calibri"/>
                <w:b/>
                <w:i w:val="0"/>
                <w:color w:val="FFFFFF"/>
                <w:sz w:val="17"/>
              </w:rPr>
              <w:t>Raised by</w:t>
            </w:r>
          </w:p>
        </w:tc>
      </w:tr>
      <w:tr>
        <w:tc>
          <w:tcPr>
            <w:tcW w:type="dxa" w:w="4752"/>
            <w:shd w:val="clear" w:color="auto" w:fill="FFFFFF"/>
          </w:tcPr>
          <w:p>
            <w:pPr>
              <w:spacing w:after="20"/>
            </w:pPr>
            <w:r>
              <w:rPr>
                <w:rFonts w:ascii="Calibri" w:hAnsi="Calibri"/>
                <w:b w:val="0"/>
                <w:i w:val="0"/>
                <w:color w:val="2B2F38"/>
                <w:sz w:val="18"/>
              </w:rPr>
              <w:t>Unconstrained demand forecast</w:t>
            </w:r>
          </w:p>
        </w:tc>
        <w:tc>
          <w:tcPr>
            <w:tcW w:type="dxa" w:w="1711"/>
            <w:shd w:val="clear" w:color="auto" w:fill="FFFFFF"/>
          </w:tcPr>
          <w:p>
            <w:pPr>
              <w:spacing w:after="20"/>
              <w:jc w:val="right"/>
            </w:pPr>
            <w:r>
              <w:rPr>
                <w:rFonts w:ascii="Calibri" w:hAnsi="Calibri"/>
                <w:b w:val="0"/>
                <w:i w:val="0"/>
                <w:color w:val="2B2F38"/>
                <w:sz w:val="18"/>
              </w:rPr>
              <w:t>384.0</w:t>
            </w:r>
          </w:p>
        </w:tc>
        <w:tc>
          <w:tcPr>
            <w:tcW w:type="dxa" w:w="3041"/>
            <w:shd w:val="clear" w:color="auto" w:fill="FFFFFF"/>
          </w:tcPr>
          <w:p>
            <w:pPr>
              <w:spacing w:after="20"/>
              <w:jc w:val="right"/>
            </w:pPr>
            <w:r>
              <w:rPr>
                <w:rFonts w:ascii="Calibri" w:hAnsi="Calibri"/>
                <w:b w:val="0"/>
                <w:i w:val="0"/>
                <w:color w:val="2B2F38"/>
                <w:sz w:val="18"/>
              </w:rPr>
              <w:t>Demand Planning</w:t>
            </w:r>
          </w:p>
        </w:tc>
      </w:tr>
      <w:tr>
        <w:tc>
          <w:tcPr>
            <w:tcW w:type="dxa" w:w="4752"/>
            <w:shd w:val="clear" w:color="auto" w:fill="F5F7F9"/>
          </w:tcPr>
          <w:p>
            <w:pPr>
              <w:spacing w:after="20"/>
            </w:pPr>
            <w:r>
              <w:rPr>
                <w:rFonts w:ascii="Calibri" w:hAnsi="Calibri"/>
                <w:b w:val="0"/>
                <w:i w:val="0"/>
                <w:color w:val="2B2F38"/>
                <w:sz w:val="18"/>
              </w:rPr>
              <w:t>Less: Pack Refresh changeover phasing</w:t>
            </w:r>
          </w:p>
        </w:tc>
        <w:tc>
          <w:tcPr>
            <w:tcW w:type="dxa" w:w="1711"/>
            <w:shd w:val="clear" w:color="auto" w:fill="F5F7F9"/>
          </w:tcPr>
          <w:p>
            <w:pPr>
              <w:spacing w:after="20"/>
              <w:jc w:val="right"/>
            </w:pPr>
            <w:r>
              <w:rPr>
                <w:rFonts w:ascii="Calibri" w:hAnsi="Calibri"/>
                <w:b w:val="0"/>
                <w:i w:val="0"/>
                <w:color w:val="2B2F38"/>
                <w:sz w:val="18"/>
              </w:rPr>
              <w:t>−2.5</w:t>
            </w:r>
          </w:p>
        </w:tc>
        <w:tc>
          <w:tcPr>
            <w:tcW w:type="dxa" w:w="3041"/>
            <w:shd w:val="clear" w:color="auto" w:fill="F5F7F9"/>
          </w:tcPr>
          <w:p>
            <w:pPr>
              <w:spacing w:after="20"/>
              <w:jc w:val="right"/>
            </w:pPr>
            <w:r>
              <w:rPr>
                <w:rFonts w:ascii="Calibri" w:hAnsi="Calibri"/>
                <w:b w:val="0"/>
                <w:i w:val="0"/>
                <w:color w:val="2B2F38"/>
                <w:sz w:val="18"/>
              </w:rPr>
              <w:t>VP Supply Chain</w:t>
            </w:r>
          </w:p>
        </w:tc>
      </w:tr>
      <w:tr>
        <w:tc>
          <w:tcPr>
            <w:tcW w:type="dxa" w:w="4752"/>
            <w:shd w:val="clear" w:color="auto" w:fill="FFFFFF"/>
          </w:tcPr>
          <w:p>
            <w:pPr>
              <w:spacing w:after="20"/>
            </w:pPr>
            <w:r>
              <w:rPr>
                <w:rFonts w:ascii="Calibri" w:hAnsi="Calibri"/>
                <w:b w:val="0"/>
                <w:i w:val="0"/>
                <w:color w:val="2B2F38"/>
                <w:sz w:val="18"/>
              </w:rPr>
              <w:t>Less: ProteinPeak allocation at Walmart</w:t>
            </w:r>
          </w:p>
        </w:tc>
        <w:tc>
          <w:tcPr>
            <w:tcW w:type="dxa" w:w="1711"/>
            <w:shd w:val="clear" w:color="auto" w:fill="FFFFFF"/>
          </w:tcPr>
          <w:p>
            <w:pPr>
              <w:spacing w:after="20"/>
              <w:jc w:val="right"/>
            </w:pPr>
            <w:r>
              <w:rPr>
                <w:rFonts w:ascii="Calibri" w:hAnsi="Calibri"/>
                <w:b w:val="0"/>
                <w:i w:val="0"/>
                <w:color w:val="2B2F38"/>
                <w:sz w:val="18"/>
              </w:rPr>
              <w:t>−1.5</w:t>
            </w:r>
          </w:p>
        </w:tc>
        <w:tc>
          <w:tcPr>
            <w:tcW w:type="dxa" w:w="3041"/>
            <w:shd w:val="clear" w:color="auto" w:fill="FFFFFF"/>
          </w:tcPr>
          <w:p>
            <w:pPr>
              <w:spacing w:after="20"/>
              <w:jc w:val="right"/>
            </w:pPr>
            <w:r>
              <w:rPr>
                <w:rFonts w:ascii="Calibri" w:hAnsi="Calibri"/>
                <w:b w:val="0"/>
                <w:i w:val="0"/>
                <w:color w:val="2B2F38"/>
                <w:sz w:val="18"/>
              </w:rPr>
              <w:t>VP Supply Chain</w:t>
            </w:r>
          </w:p>
        </w:tc>
      </w:tr>
      <w:tr>
        <w:tc>
          <w:tcPr>
            <w:tcW w:type="dxa" w:w="4752"/>
            <w:shd w:val="clear" w:color="auto" w:fill="F5F7F9"/>
          </w:tcPr>
          <w:p>
            <w:pPr>
              <w:spacing w:after="20"/>
            </w:pPr>
            <w:r>
              <w:rPr>
                <w:rFonts w:ascii="Calibri" w:hAnsi="Calibri"/>
                <w:b w:val="0"/>
                <w:i w:val="0"/>
                <w:color w:val="2B2F38"/>
                <w:sz w:val="18"/>
              </w:rPr>
              <w:t>Less: HoneyNest and RootDay discontinuations</w:t>
            </w:r>
          </w:p>
        </w:tc>
        <w:tc>
          <w:tcPr>
            <w:tcW w:type="dxa" w:w="1711"/>
            <w:shd w:val="clear" w:color="auto" w:fill="F5F7F9"/>
          </w:tcPr>
          <w:p>
            <w:pPr>
              <w:spacing w:after="20"/>
              <w:jc w:val="right"/>
            </w:pPr>
            <w:r>
              <w:rPr>
                <w:rFonts w:ascii="Calibri" w:hAnsi="Calibri"/>
                <w:b w:val="0"/>
                <w:i w:val="0"/>
                <w:color w:val="2B2F38"/>
                <w:sz w:val="18"/>
              </w:rPr>
              <w:t>−1.6</w:t>
            </w:r>
          </w:p>
        </w:tc>
        <w:tc>
          <w:tcPr>
            <w:tcW w:type="dxa" w:w="3041"/>
            <w:shd w:val="clear" w:color="auto" w:fill="F5F7F9"/>
          </w:tcPr>
          <w:p>
            <w:pPr>
              <w:spacing w:after="20"/>
              <w:jc w:val="right"/>
            </w:pPr>
            <w:r>
              <w:rPr>
                <w:rFonts w:ascii="Calibri" w:hAnsi="Calibri"/>
                <w:b w:val="0"/>
                <w:i w:val="0"/>
                <w:color w:val="2B2F38"/>
                <w:sz w:val="18"/>
              </w:rPr>
              <w:t>VP Brand</w:t>
            </w:r>
          </w:p>
        </w:tc>
      </w:tr>
      <w:tr>
        <w:tc>
          <w:tcPr>
            <w:tcW w:type="dxa" w:w="4752"/>
            <w:shd w:val="clear" w:color="auto" w:fill="FFFFFF"/>
          </w:tcPr>
          <w:p>
            <w:pPr>
              <w:spacing w:after="20"/>
            </w:pPr>
            <w:r>
              <w:rPr>
                <w:rFonts w:ascii="Calibri" w:hAnsi="Calibri"/>
                <w:b w:val="0"/>
                <w:i w:val="0"/>
                <w:color w:val="2B2F38"/>
                <w:sz w:val="18"/>
              </w:rPr>
              <w:t>Plus: retail-media reallocation upside</w:t>
            </w:r>
          </w:p>
        </w:tc>
        <w:tc>
          <w:tcPr>
            <w:tcW w:type="dxa" w:w="1711"/>
            <w:shd w:val="clear" w:color="auto" w:fill="FFFFFF"/>
          </w:tcPr>
          <w:p>
            <w:pPr>
              <w:spacing w:after="20"/>
              <w:jc w:val="right"/>
            </w:pPr>
            <w:r>
              <w:rPr>
                <w:rFonts w:ascii="Calibri" w:hAnsi="Calibri"/>
                <w:b w:val="0"/>
                <w:i w:val="0"/>
                <w:color w:val="2B2F38"/>
                <w:sz w:val="18"/>
              </w:rPr>
              <w:t>+0.6</w:t>
            </w:r>
          </w:p>
        </w:tc>
        <w:tc>
          <w:tcPr>
            <w:tcW w:type="dxa" w:w="3041"/>
            <w:shd w:val="clear" w:color="auto" w:fill="FFFFFF"/>
          </w:tcPr>
          <w:p>
            <w:pPr>
              <w:spacing w:after="20"/>
              <w:jc w:val="right"/>
            </w:pPr>
            <w:r>
              <w:rPr>
                <w:rFonts w:ascii="Calibri" w:hAnsi="Calibri"/>
                <w:b w:val="0"/>
                <w:i w:val="0"/>
                <w:color w:val="2B2F38"/>
                <w:sz w:val="18"/>
              </w:rPr>
              <w:t>CFO</w:t>
            </w:r>
          </w:p>
        </w:tc>
      </w:tr>
      <w:tr>
        <w:tc>
          <w:tcPr>
            <w:tcW w:type="dxa" w:w="4752"/>
            <w:shd w:val="clear" w:color="auto" w:fill="EAEEF2"/>
          </w:tcPr>
          <w:p>
            <w:pPr>
              <w:spacing w:after="20"/>
            </w:pPr>
            <w:r>
              <w:rPr>
                <w:rFonts w:ascii="Calibri" w:hAnsi="Calibri"/>
                <w:b/>
                <w:i w:val="0"/>
                <w:color w:val="2B2F38"/>
                <w:sz w:val="18"/>
              </w:rPr>
              <w:t>Consensus H2 number</w:t>
            </w:r>
          </w:p>
        </w:tc>
        <w:tc>
          <w:tcPr>
            <w:tcW w:type="dxa" w:w="1711"/>
            <w:shd w:val="clear" w:color="auto" w:fill="EAEEF2"/>
          </w:tcPr>
          <w:p>
            <w:pPr>
              <w:spacing w:after="20"/>
              <w:jc w:val="right"/>
            </w:pPr>
            <w:r>
              <w:rPr>
                <w:rFonts w:ascii="Calibri" w:hAnsi="Calibri"/>
                <w:b/>
                <w:i w:val="0"/>
                <w:color w:val="2B2F38"/>
                <w:sz w:val="18"/>
              </w:rPr>
              <w:t>379.0</w:t>
            </w:r>
          </w:p>
        </w:tc>
        <w:tc>
          <w:tcPr>
            <w:tcW w:type="dxa" w:w="3041"/>
            <w:shd w:val="clear" w:color="auto" w:fill="EAEEF2"/>
          </w:tcPr>
          <w:p>
            <w:pPr>
              <w:spacing w:after="20"/>
              <w:jc w:val="right"/>
            </w:pPr>
            <w:r>
              <w:rPr>
                <w:rFonts w:ascii="Calibri" w:hAnsi="Calibri"/>
                <w:b/>
                <w:i w:val="0"/>
                <w:color w:val="2B2F38"/>
                <w:sz w:val="18"/>
              </w:rPr>
              <w:t>S&amp;OP Lead</w:t>
            </w:r>
          </w:p>
        </w:tc>
      </w:tr>
    </w:tbl>
    <w:p>
      <w:pPr>
        <w:keepNext w:val="0"/>
        <w:spacing w:after="60" w:before="0" w:line="274" w:lineRule="auto"/>
      </w:pPr>
    </w:p>
    <w:p>
      <w:pPr>
        <w:keepNext/>
        <w:spacing w:after="60" w:before="180" w:line="274" w:lineRule="auto"/>
      </w:pPr>
      <w:r>
        <w:rPr>
          <w:rFonts w:ascii="Calibri" w:hAnsi="Calibri"/>
          <w:b/>
          <w:i w:val="0"/>
          <w:color w:val="1F2A44"/>
          <w:sz w:val="23"/>
        </w:rPr>
        <w:t>Decision log</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372"/>
        <w:gridCol w:w="2091"/>
        <w:gridCol w:w="1331"/>
        <w:gridCol w:w="1711"/>
      </w:tblGrid>
      <w:tr>
        <w:tc>
          <w:tcPr>
            <w:tcW w:type="dxa" w:w="4372"/>
            <w:shd w:val="clear" w:color="auto" w:fill="1F2A44"/>
          </w:tcPr>
          <w:p>
            <w:pPr>
              <w:spacing w:after="20"/>
            </w:pPr>
            <w:r>
              <w:rPr>
                <w:rFonts w:ascii="Calibri" w:hAnsi="Calibri"/>
                <w:b/>
                <w:i w:val="0"/>
                <w:color w:val="FFFFFF"/>
                <w:sz w:val="18"/>
              </w:rPr>
              <w:t>Decision</w:t>
            </w:r>
          </w:p>
        </w:tc>
        <w:tc>
          <w:tcPr>
            <w:tcW w:type="dxa" w:w="2091"/>
            <w:shd w:val="clear" w:color="auto" w:fill="1F2A44"/>
          </w:tcPr>
          <w:p>
            <w:pPr>
              <w:spacing w:after="20"/>
            </w:pPr>
            <w:r>
              <w:rPr>
                <w:rFonts w:ascii="Calibri" w:hAnsi="Calibri"/>
                <w:b/>
                <w:i w:val="0"/>
                <w:color w:val="FFFFFF"/>
                <w:sz w:val="18"/>
              </w:rPr>
              <w:t>Owner</w:t>
            </w:r>
          </w:p>
        </w:tc>
        <w:tc>
          <w:tcPr>
            <w:tcW w:type="dxa" w:w="1331"/>
            <w:shd w:val="clear" w:color="auto" w:fill="1F2A44"/>
          </w:tcPr>
          <w:p>
            <w:pPr>
              <w:spacing w:after="20"/>
              <w:jc w:val="right"/>
            </w:pPr>
            <w:r>
              <w:rPr>
                <w:rFonts w:ascii="Calibri" w:hAnsi="Calibri"/>
                <w:b/>
                <w:i w:val="0"/>
                <w:color w:val="FFFFFF"/>
                <w:sz w:val="18"/>
              </w:rPr>
              <w:t>Date</w:t>
            </w:r>
          </w:p>
        </w:tc>
        <w:tc>
          <w:tcPr>
            <w:tcW w:type="dxa" w:w="1711"/>
            <w:shd w:val="clear" w:color="auto" w:fill="1F2A44"/>
          </w:tcPr>
          <w:p>
            <w:pPr>
              <w:spacing w:after="20"/>
              <w:jc w:val="right"/>
            </w:pPr>
            <w:r>
              <w:rPr>
                <w:rFonts w:ascii="Calibri" w:hAnsi="Calibri"/>
                <w:b/>
                <w:i w:val="0"/>
                <w:color w:val="FFFFFF"/>
                <w:sz w:val="18"/>
              </w:rPr>
              <w:t>Status</w:t>
            </w:r>
          </w:p>
        </w:tc>
      </w:tr>
      <w:tr>
        <w:tc>
          <w:tcPr>
            <w:tcW w:type="dxa" w:w="4372"/>
            <w:shd w:val="clear" w:color="auto" w:fill="FFFFFF"/>
          </w:tcPr>
          <w:p>
            <w:pPr>
              <w:spacing w:after="20"/>
            </w:pPr>
            <w:r>
              <w:rPr>
                <w:rFonts w:ascii="Calibri" w:hAnsi="Calibri"/>
                <w:b w:val="0"/>
                <w:i w:val="0"/>
                <w:color w:val="2B2F38"/>
                <w:sz w:val="19"/>
              </w:rPr>
              <w:t>Adopt $379M as the H2 consensus number; hold the $3M gap as management risk</w:t>
            </w:r>
          </w:p>
        </w:tc>
        <w:tc>
          <w:tcPr>
            <w:tcW w:type="dxa" w:w="2091"/>
            <w:shd w:val="clear" w:color="auto" w:fill="FFFFFF"/>
          </w:tcPr>
          <w:p>
            <w:pPr>
              <w:spacing w:after="20"/>
            </w:pPr>
            <w:r>
              <w:rPr>
                <w:rFonts w:ascii="Calibri" w:hAnsi="Calibri"/>
                <w:b w:val="0"/>
                <w:i w:val="0"/>
                <w:color w:val="2B2F38"/>
                <w:sz w:val="19"/>
              </w:rPr>
              <w:t>CFO</w:t>
            </w:r>
          </w:p>
        </w:tc>
        <w:tc>
          <w:tcPr>
            <w:tcW w:type="dxa" w:w="1331"/>
            <w:shd w:val="clear" w:color="auto" w:fill="FFFFFF"/>
          </w:tcPr>
          <w:p>
            <w:pPr>
              <w:spacing w:after="20"/>
              <w:jc w:val="right"/>
            </w:pPr>
            <w:r>
              <w:rPr>
                <w:rFonts w:ascii="Calibri" w:hAnsi="Calibri"/>
                <w:b w:val="0"/>
                <w:i w:val="0"/>
                <w:color w:val="2B2F38"/>
                <w:sz w:val="19"/>
              </w:rPr>
              <w:t>Jul 2026</w:t>
            </w:r>
          </w:p>
        </w:tc>
        <w:tc>
          <w:tcPr>
            <w:tcW w:type="dxa" w:w="1711"/>
            <w:shd w:val="clear" w:color="auto" w:fill="FFFFFF"/>
          </w:tcPr>
          <w:p>
            <w:pPr>
              <w:spacing w:after="20"/>
              <w:jc w:val="right"/>
            </w:pPr>
            <w:r>
              <w:rPr>
                <w:rFonts w:ascii="Calibri" w:hAnsi="Calibri"/>
                <w:b/>
                <w:i w:val="0"/>
                <w:color w:val="B24A2E"/>
                <w:sz w:val="19"/>
              </w:rPr>
              <w:t>Action</w:t>
            </w:r>
          </w:p>
        </w:tc>
      </w:tr>
      <w:tr>
        <w:tc>
          <w:tcPr>
            <w:tcW w:type="dxa" w:w="4372"/>
            <w:shd w:val="clear" w:color="auto" w:fill="F5F7F9"/>
          </w:tcPr>
          <w:p>
            <w:pPr>
              <w:spacing w:after="20"/>
            </w:pPr>
            <w:r>
              <w:rPr>
                <w:rFonts w:ascii="Calibri" w:hAnsi="Calibri"/>
                <w:b w:val="0"/>
                <w:i w:val="0"/>
                <w:color w:val="2B2F38"/>
                <w:sz w:val="19"/>
              </w:rPr>
              <w:t>Protect Pack Refresh changeover capacity ahead of base-SKU fill in weeks 33–35</w:t>
            </w:r>
          </w:p>
        </w:tc>
        <w:tc>
          <w:tcPr>
            <w:tcW w:type="dxa" w:w="2091"/>
            <w:shd w:val="clear" w:color="auto" w:fill="F5F7F9"/>
          </w:tcPr>
          <w:p>
            <w:pPr>
              <w:spacing w:after="20"/>
            </w:pPr>
            <w:r>
              <w:rPr>
                <w:rFonts w:ascii="Calibri" w:hAnsi="Calibri"/>
                <w:b w:val="0"/>
                <w:i w:val="0"/>
                <w:color w:val="2B2F38"/>
                <w:sz w:val="19"/>
              </w:rPr>
              <w:t>VP Supply Chain</w:t>
            </w:r>
          </w:p>
        </w:tc>
        <w:tc>
          <w:tcPr>
            <w:tcW w:type="dxa" w:w="1331"/>
            <w:shd w:val="clear" w:color="auto" w:fill="F5F7F9"/>
          </w:tcPr>
          <w:p>
            <w:pPr>
              <w:spacing w:after="20"/>
              <w:jc w:val="right"/>
            </w:pPr>
            <w:r>
              <w:rPr>
                <w:rFonts w:ascii="Calibri" w:hAnsi="Calibri"/>
                <w:b w:val="0"/>
                <w:i w:val="0"/>
                <w:color w:val="2B2F38"/>
                <w:sz w:val="19"/>
              </w:rPr>
              <w:t>Aug 1</w:t>
            </w:r>
          </w:p>
        </w:tc>
        <w:tc>
          <w:tcPr>
            <w:tcW w:type="dxa" w:w="1711"/>
            <w:shd w:val="clear" w:color="auto" w:fill="F5F7F9"/>
          </w:tcPr>
          <w:p>
            <w:pPr>
              <w:spacing w:after="20"/>
              <w:jc w:val="right"/>
            </w:pPr>
            <w:r>
              <w:rPr>
                <w:rFonts w:ascii="Calibri" w:hAnsi="Calibri"/>
                <w:b/>
                <w:i w:val="0"/>
                <w:color w:val="B24A2E"/>
                <w:sz w:val="19"/>
              </w:rPr>
              <w:t>Action</w:t>
            </w:r>
          </w:p>
        </w:tc>
      </w:tr>
      <w:tr>
        <w:tc>
          <w:tcPr>
            <w:tcW w:type="dxa" w:w="4372"/>
            <w:shd w:val="clear" w:color="auto" w:fill="FFFFFF"/>
          </w:tcPr>
          <w:p>
            <w:pPr>
              <w:spacing w:after="20"/>
            </w:pPr>
            <w:r>
              <w:rPr>
                <w:rFonts w:ascii="Calibri" w:hAnsi="Calibri"/>
                <w:b w:val="0"/>
                <w:i w:val="0"/>
                <w:color w:val="2B2F38"/>
                <w:sz w:val="19"/>
              </w:rPr>
              <w:t>Pre-agree the ProteinPeak allocation rule if Walmart authorises early</w:t>
            </w:r>
          </w:p>
        </w:tc>
        <w:tc>
          <w:tcPr>
            <w:tcW w:type="dxa" w:w="2091"/>
            <w:shd w:val="clear" w:color="auto" w:fill="FFFFFF"/>
          </w:tcPr>
          <w:p>
            <w:pPr>
              <w:spacing w:after="20"/>
            </w:pPr>
            <w:r>
              <w:rPr>
                <w:rFonts w:ascii="Calibri" w:hAnsi="Calibri"/>
                <w:b w:val="0"/>
                <w:i w:val="0"/>
                <w:color w:val="2B2F38"/>
                <w:sz w:val="19"/>
              </w:rPr>
              <w:t>Supply Chain / Sage Park</w:t>
            </w:r>
          </w:p>
        </w:tc>
        <w:tc>
          <w:tcPr>
            <w:tcW w:type="dxa" w:w="1331"/>
            <w:shd w:val="clear" w:color="auto" w:fill="FFFFFF"/>
          </w:tcPr>
          <w:p>
            <w:pPr>
              <w:spacing w:after="20"/>
              <w:jc w:val="right"/>
            </w:pPr>
            <w:r>
              <w:rPr>
                <w:rFonts w:ascii="Calibri" w:hAnsi="Calibri"/>
                <w:b w:val="0"/>
                <w:i w:val="0"/>
                <w:color w:val="2B2F38"/>
                <w:sz w:val="19"/>
              </w:rPr>
              <w:t>Aug 15</w:t>
            </w:r>
          </w:p>
        </w:tc>
        <w:tc>
          <w:tcPr>
            <w:tcW w:type="dxa" w:w="1711"/>
            <w:shd w:val="clear" w:color="auto" w:fill="FFFFFF"/>
          </w:tcPr>
          <w:p>
            <w:pPr>
              <w:spacing w:after="20"/>
              <w:jc w:val="right"/>
            </w:pPr>
            <w:r>
              <w:rPr>
                <w:rFonts w:ascii="Calibri" w:hAnsi="Calibri"/>
                <w:b/>
                <w:i w:val="0"/>
                <w:color w:val="B24A2E"/>
                <w:sz w:val="19"/>
              </w:rPr>
              <w:t>Action</w:t>
            </w:r>
          </w:p>
        </w:tc>
      </w:tr>
      <w:tr>
        <w:tc>
          <w:tcPr>
            <w:tcW w:type="dxa" w:w="4372"/>
            <w:shd w:val="clear" w:color="auto" w:fill="F5F7F9"/>
          </w:tcPr>
          <w:p>
            <w:pPr>
              <w:spacing w:after="20"/>
            </w:pPr>
            <w:r>
              <w:rPr>
                <w:rFonts w:ascii="Calibri" w:hAnsi="Calibri"/>
                <w:b w:val="0"/>
                <w:i w:val="0"/>
                <w:color w:val="2B2F38"/>
                <w:sz w:val="19"/>
              </w:rPr>
              <w:t>Make Launch_Allocation cuts a visible demand-plan line</w:t>
            </w:r>
          </w:p>
        </w:tc>
        <w:tc>
          <w:tcPr>
            <w:tcW w:type="dxa" w:w="2091"/>
            <w:shd w:val="clear" w:color="auto" w:fill="F5F7F9"/>
          </w:tcPr>
          <w:p>
            <w:pPr>
              <w:spacing w:after="20"/>
            </w:pPr>
            <w:r>
              <w:rPr>
                <w:rFonts w:ascii="Calibri" w:hAnsi="Calibri"/>
                <w:b w:val="0"/>
                <w:i w:val="0"/>
                <w:color w:val="2B2F38"/>
                <w:sz w:val="19"/>
              </w:rPr>
              <w:t>Demand Planning</w:t>
            </w:r>
          </w:p>
        </w:tc>
        <w:tc>
          <w:tcPr>
            <w:tcW w:type="dxa" w:w="1331"/>
            <w:shd w:val="clear" w:color="auto" w:fill="F5F7F9"/>
          </w:tcPr>
          <w:p>
            <w:pPr>
              <w:spacing w:after="20"/>
              <w:jc w:val="right"/>
            </w:pPr>
            <w:r>
              <w:rPr>
                <w:rFonts w:ascii="Calibri" w:hAnsi="Calibri"/>
                <w:b w:val="0"/>
                <w:i w:val="0"/>
                <w:color w:val="2B2F38"/>
                <w:sz w:val="19"/>
              </w:rPr>
              <w:t>Next cycle</w:t>
            </w:r>
          </w:p>
        </w:tc>
        <w:tc>
          <w:tcPr>
            <w:tcW w:type="dxa" w:w="1711"/>
            <w:shd w:val="clear" w:color="auto" w:fill="F5F7F9"/>
          </w:tcPr>
          <w:p>
            <w:pPr>
              <w:spacing w:after="20"/>
              <w:jc w:val="right"/>
            </w:pPr>
            <w:r>
              <w:rPr>
                <w:rFonts w:ascii="Calibri" w:hAnsi="Calibri"/>
                <w:b/>
                <w:i w:val="0"/>
                <w:color w:val="B24A2E"/>
                <w:sz w:val="19"/>
              </w:rPr>
              <w:t>Action</w:t>
            </w:r>
          </w:p>
        </w:tc>
      </w:tr>
      <w:tr>
        <w:tc>
          <w:tcPr>
            <w:tcW w:type="dxa" w:w="4372"/>
            <w:shd w:val="clear" w:color="auto" w:fill="FFFFFF"/>
          </w:tcPr>
          <w:p>
            <w:pPr>
              <w:spacing w:after="20"/>
            </w:pPr>
            <w:r>
              <w:rPr>
                <w:rFonts w:ascii="Calibri" w:hAnsi="Calibri"/>
                <w:b w:val="0"/>
                <w:i w:val="0"/>
                <w:color w:val="2B2F38"/>
                <w:sz w:val="19"/>
              </w:rPr>
              <w:t>Release the $700K retail-media reallocation</w:t>
            </w:r>
          </w:p>
        </w:tc>
        <w:tc>
          <w:tcPr>
            <w:tcW w:type="dxa" w:w="2091"/>
            <w:shd w:val="clear" w:color="auto" w:fill="FFFFFF"/>
          </w:tcPr>
          <w:p>
            <w:pPr>
              <w:spacing w:after="20"/>
            </w:pPr>
            <w:r>
              <w:rPr>
                <w:rFonts w:ascii="Calibri" w:hAnsi="Calibri"/>
                <w:b w:val="0"/>
                <w:i w:val="0"/>
                <w:color w:val="2B2F38"/>
                <w:sz w:val="19"/>
              </w:rPr>
              <w:t>CFO / Tasha Brooks</w:t>
            </w:r>
          </w:p>
        </w:tc>
        <w:tc>
          <w:tcPr>
            <w:tcW w:type="dxa" w:w="1331"/>
            <w:shd w:val="clear" w:color="auto" w:fill="FFFFFF"/>
          </w:tcPr>
          <w:p>
            <w:pPr>
              <w:spacing w:after="20"/>
              <w:jc w:val="right"/>
            </w:pPr>
            <w:r>
              <w:rPr>
                <w:rFonts w:ascii="Calibri" w:hAnsi="Calibri"/>
                <w:b w:val="0"/>
                <w:i w:val="0"/>
                <w:color w:val="2B2F38"/>
                <w:sz w:val="19"/>
              </w:rPr>
              <w:t>Aug 1</w:t>
            </w:r>
          </w:p>
        </w:tc>
        <w:tc>
          <w:tcPr>
            <w:tcW w:type="dxa" w:w="1711"/>
            <w:shd w:val="clear" w:color="auto" w:fill="FFFFFF"/>
          </w:tcPr>
          <w:p>
            <w:pPr>
              <w:spacing w:after="20"/>
              <w:jc w:val="right"/>
            </w:pPr>
            <w:r>
              <w:rPr>
                <w:rFonts w:ascii="Calibri" w:hAnsi="Calibri"/>
                <w:b/>
                <w:i w:val="0"/>
                <w:color w:val="B24A2E"/>
                <w:sz w:val="19"/>
              </w:rPr>
              <w:t>Action</w:t>
            </w:r>
          </w:p>
        </w:tc>
      </w:tr>
    </w:tbl>
    <w:p>
      <w:pPr>
        <w:keepNext w:val="0"/>
        <w:spacing w:after="60" w:before="0" w:line="274" w:lineRule="auto"/>
      </w:pPr>
    </w:p>
    <w:p>
      <w:pPr>
        <w:keepNext/>
        <w:spacing w:after="40" w:before="240" w:line="274" w:lineRule="auto"/>
      </w:pPr>
      <w:r>
        <w:rPr>
          <w:rFonts w:ascii="Calibri" w:hAnsi="Calibri"/>
          <w:b/>
          <w:i w:val="0"/>
          <w:color w:val="2E7D75"/>
          <w:sz w:val="18"/>
        </w:rPr>
        <w:t>ACTIONS</w:t>
      </w:r>
    </w:p>
    <w:p>
      <w:pPr>
        <w:keepNext/>
        <w:spacing w:after="100" w:before="0" w:line="274" w:lineRule="auto"/>
      </w:pPr>
      <w:r>
        <w:rPr>
          <w:rFonts w:ascii="Calibri" w:hAnsi="Calibri"/>
          <w:b/>
          <w:i w:val="0"/>
          <w:color w:val="1F2A44"/>
          <w:sz w:val="31"/>
        </w:rPr>
        <w:t>6 · Carried forward to the August cycle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570"/>
        <w:gridCol w:w="5132"/>
        <w:gridCol w:w="2281"/>
        <w:gridCol w:w="1521"/>
      </w:tblGrid>
      <w:tr>
        <w:tc>
          <w:tcPr>
            <w:tcW w:type="dxa" w:w="570"/>
            <w:shd w:val="clear" w:color="auto" w:fill="1F2A44"/>
          </w:tcPr>
          <w:p>
            <w:pPr>
              <w:spacing w:after="20"/>
            </w:pPr>
            <w:r>
              <w:rPr>
                <w:rFonts w:ascii="Calibri" w:hAnsi="Calibri"/>
                <w:b/>
                <w:i w:val="0"/>
                <w:color w:val="FFFFFF"/>
                <w:sz w:val="18"/>
              </w:rPr>
              <w:t>#</w:t>
            </w:r>
          </w:p>
        </w:tc>
        <w:tc>
          <w:tcPr>
            <w:tcW w:type="dxa" w:w="5132"/>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Due</w:t>
            </w:r>
          </w:p>
        </w:tc>
      </w:tr>
      <w:tr>
        <w:tc>
          <w:tcPr>
            <w:tcW w:type="dxa" w:w="570"/>
            <w:shd w:val="clear" w:color="auto" w:fill="FFFFFF"/>
          </w:tcPr>
          <w:p>
            <w:pPr>
              <w:spacing w:after="20"/>
            </w:pPr>
            <w:r>
              <w:rPr>
                <w:rFonts w:ascii="Calibri" w:hAnsi="Calibri"/>
                <w:b w:val="0"/>
                <w:i w:val="0"/>
                <w:color w:val="2B2F38"/>
                <w:sz w:val="19"/>
              </w:rPr>
              <w:t>1</w:t>
            </w:r>
          </w:p>
        </w:tc>
        <w:tc>
          <w:tcPr>
            <w:tcW w:type="dxa" w:w="5132"/>
            <w:shd w:val="clear" w:color="auto" w:fill="FFFFFF"/>
          </w:tcPr>
          <w:p>
            <w:pPr>
              <w:spacing w:after="20"/>
            </w:pPr>
            <w:r>
              <w:rPr>
                <w:rFonts w:ascii="Calibri" w:hAnsi="Calibri"/>
                <w:b w:val="0"/>
                <w:i w:val="0"/>
                <w:color w:val="2B2F38"/>
                <w:sz w:val="19"/>
              </w:rPr>
              <w:t>Pre-build Pack Refresh hero SKUs in weeks 31–32</w:t>
            </w:r>
          </w:p>
        </w:tc>
        <w:tc>
          <w:tcPr>
            <w:tcW w:type="dxa" w:w="2281"/>
            <w:shd w:val="clear" w:color="auto" w:fill="FFFFFF"/>
          </w:tcPr>
          <w:p>
            <w:pPr>
              <w:spacing w:after="20"/>
            </w:pPr>
            <w:r>
              <w:rPr>
                <w:rFonts w:ascii="Calibri" w:hAnsi="Calibri"/>
                <w:b w:val="0"/>
                <w:i w:val="0"/>
                <w:color w:val="2B2F38"/>
                <w:sz w:val="19"/>
              </w:rPr>
              <w:t>VP Supply Chain</w:t>
            </w:r>
          </w:p>
        </w:tc>
        <w:tc>
          <w:tcPr>
            <w:tcW w:type="dxa" w:w="1521"/>
            <w:shd w:val="clear" w:color="auto" w:fill="FFFFFF"/>
          </w:tcPr>
          <w:p>
            <w:pPr>
              <w:spacing w:after="20"/>
              <w:jc w:val="right"/>
            </w:pPr>
            <w:r>
              <w:rPr>
                <w:rFonts w:ascii="Calibri" w:hAnsi="Calibri"/>
                <w:b w:val="0"/>
                <w:i w:val="0"/>
                <w:color w:val="2B2F38"/>
                <w:sz w:val="19"/>
              </w:rPr>
              <w:t>Jul 31</w:t>
            </w:r>
          </w:p>
        </w:tc>
      </w:tr>
      <w:tr>
        <w:tc>
          <w:tcPr>
            <w:tcW w:type="dxa" w:w="570"/>
            <w:shd w:val="clear" w:color="auto" w:fill="F5F7F9"/>
          </w:tcPr>
          <w:p>
            <w:pPr>
              <w:spacing w:after="20"/>
            </w:pPr>
            <w:r>
              <w:rPr>
                <w:rFonts w:ascii="Calibri" w:hAnsi="Calibri"/>
                <w:b w:val="0"/>
                <w:i w:val="0"/>
                <w:color w:val="2B2F38"/>
                <w:sz w:val="19"/>
              </w:rPr>
              <w:t>2</w:t>
            </w:r>
          </w:p>
        </w:tc>
        <w:tc>
          <w:tcPr>
            <w:tcW w:type="dxa" w:w="5132"/>
            <w:shd w:val="clear" w:color="auto" w:fill="F5F7F9"/>
          </w:tcPr>
          <w:p>
            <w:pPr>
              <w:spacing w:after="20"/>
            </w:pPr>
            <w:r>
              <w:rPr>
                <w:rFonts w:ascii="Calibri" w:hAnsi="Calibri"/>
                <w:b w:val="0"/>
                <w:i w:val="0"/>
                <w:color w:val="2B2F38"/>
                <w:sz w:val="19"/>
              </w:rPr>
              <w:t>Communicate changeover fill impact to top-10 customers</w:t>
            </w:r>
          </w:p>
        </w:tc>
        <w:tc>
          <w:tcPr>
            <w:tcW w:type="dxa" w:w="2281"/>
            <w:shd w:val="clear" w:color="auto" w:fill="F5F7F9"/>
          </w:tcPr>
          <w:p>
            <w:pPr>
              <w:spacing w:after="20"/>
            </w:pPr>
            <w:r>
              <w:rPr>
                <w:rFonts w:ascii="Calibri" w:hAnsi="Calibri"/>
                <w:b w:val="0"/>
                <w:i w:val="0"/>
                <w:color w:val="2B2F38"/>
                <w:sz w:val="19"/>
              </w:rPr>
              <w:t>Customer Logistics</w:t>
            </w:r>
          </w:p>
        </w:tc>
        <w:tc>
          <w:tcPr>
            <w:tcW w:type="dxa" w:w="1521"/>
            <w:shd w:val="clear" w:color="auto" w:fill="F5F7F9"/>
          </w:tcPr>
          <w:p>
            <w:pPr>
              <w:spacing w:after="20"/>
              <w:jc w:val="right"/>
            </w:pPr>
            <w:r>
              <w:rPr>
                <w:rFonts w:ascii="Calibri" w:hAnsi="Calibri"/>
                <w:b w:val="0"/>
                <w:i w:val="0"/>
                <w:color w:val="2B2F38"/>
                <w:sz w:val="19"/>
              </w:rPr>
              <w:t>Aug 1</w:t>
            </w:r>
          </w:p>
        </w:tc>
      </w:tr>
      <w:tr>
        <w:tc>
          <w:tcPr>
            <w:tcW w:type="dxa" w:w="570"/>
            <w:shd w:val="clear" w:color="auto" w:fill="FFFFFF"/>
          </w:tcPr>
          <w:p>
            <w:pPr>
              <w:spacing w:after="20"/>
            </w:pPr>
            <w:r>
              <w:rPr>
                <w:rFonts w:ascii="Calibri" w:hAnsi="Calibri"/>
                <w:b w:val="0"/>
                <w:i w:val="0"/>
                <w:color w:val="2B2F38"/>
                <w:sz w:val="19"/>
              </w:rPr>
              <w:t>3</w:t>
            </w:r>
          </w:p>
        </w:tc>
        <w:tc>
          <w:tcPr>
            <w:tcW w:type="dxa" w:w="5132"/>
            <w:shd w:val="clear" w:color="auto" w:fill="FFFFFF"/>
          </w:tcPr>
          <w:p>
            <w:pPr>
              <w:spacing w:after="20"/>
            </w:pPr>
            <w:r>
              <w:rPr>
                <w:rFonts w:ascii="Calibri" w:hAnsi="Calibri"/>
                <w:b w:val="0"/>
                <w:i w:val="0"/>
                <w:color w:val="2B2F38"/>
                <w:sz w:val="19"/>
              </w:rPr>
              <w:t>Publish the allocation rule for ProteinPeak</w:t>
            </w:r>
          </w:p>
        </w:tc>
        <w:tc>
          <w:tcPr>
            <w:tcW w:type="dxa" w:w="2281"/>
            <w:shd w:val="clear" w:color="auto" w:fill="FFFFFF"/>
          </w:tcPr>
          <w:p>
            <w:pPr>
              <w:spacing w:after="20"/>
            </w:pPr>
            <w:r>
              <w:rPr>
                <w:rFonts w:ascii="Calibri" w:hAnsi="Calibri"/>
                <w:b w:val="0"/>
                <w:i w:val="0"/>
                <w:color w:val="2B2F38"/>
                <w:sz w:val="19"/>
              </w:rPr>
              <w:t>Supply Chain</w:t>
            </w:r>
          </w:p>
        </w:tc>
        <w:tc>
          <w:tcPr>
            <w:tcW w:type="dxa" w:w="1521"/>
            <w:shd w:val="clear" w:color="auto" w:fill="FFFFFF"/>
          </w:tcPr>
          <w:p>
            <w:pPr>
              <w:spacing w:after="20"/>
              <w:jc w:val="right"/>
            </w:pPr>
            <w:r>
              <w:rPr>
                <w:rFonts w:ascii="Calibri" w:hAnsi="Calibri"/>
                <w:b w:val="0"/>
                <w:i w:val="0"/>
                <w:color w:val="2B2F38"/>
                <w:sz w:val="19"/>
              </w:rPr>
              <w:t>Aug 15</w:t>
            </w:r>
          </w:p>
        </w:tc>
      </w:tr>
      <w:tr>
        <w:tc>
          <w:tcPr>
            <w:tcW w:type="dxa" w:w="570"/>
            <w:shd w:val="clear" w:color="auto" w:fill="F5F7F9"/>
          </w:tcPr>
          <w:p>
            <w:pPr>
              <w:spacing w:after="20"/>
            </w:pPr>
            <w:r>
              <w:rPr>
                <w:rFonts w:ascii="Calibri" w:hAnsi="Calibri"/>
                <w:b w:val="0"/>
                <w:i w:val="0"/>
                <w:color w:val="2B2F38"/>
                <w:sz w:val="19"/>
              </w:rPr>
              <w:t>4</w:t>
            </w:r>
          </w:p>
        </w:tc>
        <w:tc>
          <w:tcPr>
            <w:tcW w:type="dxa" w:w="5132"/>
            <w:shd w:val="clear" w:color="auto" w:fill="F5F7F9"/>
          </w:tcPr>
          <w:p>
            <w:pPr>
              <w:spacing w:after="20"/>
            </w:pPr>
            <w:r>
              <w:rPr>
                <w:rFonts w:ascii="Calibri" w:hAnsi="Calibri"/>
                <w:b w:val="0"/>
                <w:i w:val="0"/>
                <w:color w:val="2B2F38"/>
                <w:sz w:val="19"/>
              </w:rPr>
              <w:t>Add Launch_Allocation to the demand-plan template</w:t>
            </w:r>
          </w:p>
        </w:tc>
        <w:tc>
          <w:tcPr>
            <w:tcW w:type="dxa" w:w="2281"/>
            <w:shd w:val="clear" w:color="auto" w:fill="F5F7F9"/>
          </w:tcPr>
          <w:p>
            <w:pPr>
              <w:spacing w:after="20"/>
            </w:pPr>
            <w:r>
              <w:rPr>
                <w:rFonts w:ascii="Calibri" w:hAnsi="Calibri"/>
                <w:b w:val="0"/>
                <w:i w:val="0"/>
                <w:color w:val="2B2F38"/>
                <w:sz w:val="19"/>
              </w:rPr>
              <w:t>Demand Planning</w:t>
            </w:r>
          </w:p>
        </w:tc>
        <w:tc>
          <w:tcPr>
            <w:tcW w:type="dxa" w:w="1521"/>
            <w:shd w:val="clear" w:color="auto" w:fill="F5F7F9"/>
          </w:tcPr>
          <w:p>
            <w:pPr>
              <w:spacing w:after="20"/>
              <w:jc w:val="right"/>
            </w:pPr>
            <w:r>
              <w:rPr>
                <w:rFonts w:ascii="Calibri" w:hAnsi="Calibri"/>
                <w:b w:val="0"/>
                <w:i w:val="0"/>
                <w:color w:val="2B2F38"/>
                <w:sz w:val="19"/>
              </w:rPr>
              <w:t>Next cycle</w:t>
            </w:r>
          </w:p>
        </w:tc>
      </w:tr>
      <w:tr>
        <w:tc>
          <w:tcPr>
            <w:tcW w:type="dxa" w:w="570"/>
            <w:shd w:val="clear" w:color="auto" w:fill="FFFFFF"/>
          </w:tcPr>
          <w:p>
            <w:pPr>
              <w:spacing w:after="20"/>
            </w:pPr>
            <w:r>
              <w:rPr>
                <w:rFonts w:ascii="Calibri" w:hAnsi="Calibri"/>
                <w:b w:val="0"/>
                <w:i w:val="0"/>
                <w:color w:val="2B2F38"/>
                <w:sz w:val="19"/>
              </w:rPr>
              <w:t>5</w:t>
            </w:r>
          </w:p>
        </w:tc>
        <w:tc>
          <w:tcPr>
            <w:tcW w:type="dxa" w:w="5132"/>
            <w:shd w:val="clear" w:color="auto" w:fill="FFFFFF"/>
          </w:tcPr>
          <w:p>
            <w:pPr>
              <w:spacing w:after="20"/>
            </w:pPr>
            <w:r>
              <w:rPr>
                <w:rFonts w:ascii="Calibri" w:hAnsi="Calibri"/>
                <w:b w:val="0"/>
                <w:i w:val="0"/>
                <w:color w:val="2B2F38"/>
                <w:sz w:val="19"/>
              </w:rPr>
              <w:t>Report reallocation in-flight incrementality at week 8</w:t>
            </w:r>
          </w:p>
        </w:tc>
        <w:tc>
          <w:tcPr>
            <w:tcW w:type="dxa" w:w="2281"/>
            <w:shd w:val="clear" w:color="auto" w:fill="FFFFFF"/>
          </w:tcPr>
          <w:p>
            <w:pPr>
              <w:spacing w:after="20"/>
            </w:pPr>
            <w:r>
              <w:rPr>
                <w:rFonts w:ascii="Calibri" w:hAnsi="Calibri"/>
                <w:b w:val="0"/>
                <w:i w:val="0"/>
                <w:color w:val="2B2F38"/>
                <w:sz w:val="19"/>
              </w:rPr>
              <w:t>Hugo Lin</w:t>
            </w:r>
          </w:p>
        </w:tc>
        <w:tc>
          <w:tcPr>
            <w:tcW w:type="dxa" w:w="1521"/>
            <w:shd w:val="clear" w:color="auto" w:fill="FFFFFF"/>
          </w:tcPr>
          <w:p>
            <w:pPr>
              <w:spacing w:after="20"/>
              <w:jc w:val="right"/>
            </w:pPr>
            <w:r>
              <w:rPr>
                <w:rFonts w:ascii="Calibri" w:hAnsi="Calibri"/>
                <w:b w:val="0"/>
                <w:i w:val="0"/>
                <w:color w:val="2B2F38"/>
                <w:sz w:val="19"/>
              </w:rPr>
              <w:t>Oct 2026</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Q2 FY26 S&amp;OP minutes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FY2026 S&amp;OP / IBP Executive Cycle</dc:title>
  <dc:subject/>
  <dc:creator>Acme Corp (synthetic)</dc:creator>
  <cp:keywords/>
  <dc:description>Internal meeting record</dc:description>
  <cp:lastModifiedBy/>
  <cp:revision>1</cp:revision>
  <dcterms:created xsi:type="dcterms:W3CDTF">2013-12-23T23:15:00Z</dcterms:created>
  <dcterms:modified xsi:type="dcterms:W3CDTF">2013-12-23T23:15:00Z</dcterms:modified>
  <cp:category/>
</cp:coreProperties>
</file>