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MEASUREMENT READOUT</w:t>
      </w:r>
    </w:p>
    <w:p>
      <w:pPr>
        <w:keepNext w:val="0"/>
        <w:spacing w:after="120" w:before="0" w:line="259" w:lineRule="auto"/>
      </w:pPr>
      <w:r>
        <w:rPr>
          <w:rFonts w:ascii="Calibri" w:hAnsi="Calibri"/>
          <w:b/>
          <w:i w:val="0"/>
          <w:color w:val="1F2A44"/>
          <w:sz w:val="46"/>
        </w:rPr>
        <w:t>H1 FY2026 Media Effectiveness and the H2 Reallocation</w:t>
      </w:r>
    </w:p>
    <w:p>
      <w:pPr>
        <w:keepNext w:val="0"/>
        <w:spacing w:after="160" w:before="0" w:line="288" w:lineRule="auto"/>
      </w:pPr>
      <w:r>
        <w:rPr>
          <w:rFonts w:ascii="Calibri" w:hAnsi="Calibri"/>
          <w:b w:val="0"/>
          <w:i w:val="0"/>
          <w:color w:val="5B6472"/>
          <w:sz w:val="26"/>
        </w:rPr>
        <w:t>What modelled incrementality says about each platform, and the $700K we are moving because of it</w:t>
      </w:r>
    </w:p>
    <w:p>
      <w:pPr>
        <w:spacing w:after="120"/>
        <w:pBdr>
          <w:bottom w:val="single" w:sz="6" w:space="1" w:color="C9D2DB"/>
        </w:pBdr>
      </w:pPr>
    </w:p>
    <w:p>
      <w:pPr>
        <w:keepNext w:val="0"/>
        <w:spacing w:after="40" w:before="0" w:line="274" w:lineRule="auto"/>
      </w:pPr>
      <w:r>
        <w:rPr>
          <w:rFonts w:ascii="Calibri" w:hAnsi="Calibri"/>
          <w:b/>
          <w:i w:val="0"/>
          <w:color w:val="5B6472"/>
          <w:sz w:val="20"/>
        </w:rPr>
        <w:t>Hugo Lin, Director — Performance Marketing, with Tasha Brooks</w:t>
      </w:r>
    </w:p>
    <w:p>
      <w:pPr>
        <w:keepNext w:val="0"/>
        <w:spacing w:after="20" w:before="0" w:line="274" w:lineRule="auto"/>
      </w:pPr>
      <w:r>
        <w:rPr>
          <w:rFonts w:ascii="Calibri" w:hAnsi="Calibri"/>
          <w:b w:val="0"/>
          <w:i w:val="0"/>
          <w:color w:val="5B6472"/>
          <w:sz w:val="19"/>
        </w:rPr>
        <w:t>Period: Q1 FY2026 measured; H2 FY2026 recommended</w:t>
      </w:r>
    </w:p>
    <w:p>
      <w:pPr>
        <w:keepNext w:val="0"/>
        <w:spacing w:after="20" w:before="0" w:line="274" w:lineRule="auto"/>
      </w:pPr>
      <w:r>
        <w:rPr>
          <w:rFonts w:ascii="Calibri" w:hAnsi="Calibri"/>
          <w:b w:val="0"/>
          <w:i w:val="0"/>
          <w:color w:val="5B6472"/>
          <w:sz w:val="19"/>
        </w:rPr>
        <w:t>Companion deck: Report 55 · Governance: Report 75</w:t>
      </w:r>
    </w:p>
    <w:p>
      <w:pPr>
        <w:keepNext w:val="0"/>
        <w:spacing w:after="20" w:before="0" w:line="274" w:lineRule="auto"/>
      </w:pPr>
      <w:r>
        <w:rPr>
          <w:rFonts w:ascii="Calibri" w:hAnsi="Calibri"/>
          <w:b w:val="0"/>
          <w:i w:val="0"/>
          <w:color w:val="5B6472"/>
          <w:sz w:val="19"/>
        </w:rPr>
        <w:t>Version: v1 · July 2026</w:t>
      </w:r>
    </w:p>
    <w:p>
      <w:pPr>
        <w:keepNext w:val="0"/>
        <w:spacing w:after="200" w:before="0" w:line="274" w:lineRule="auto"/>
      </w:pPr>
      <w:r>
        <w:rPr>
          <w:rFonts w:ascii="Calibri" w:hAnsi="Calibri"/>
          <w:b w:val="0"/>
          <w:i w:val="0"/>
          <w:color w:val="5B6472"/>
          <w:sz w:val="19"/>
        </w:rPr>
        <w:t>Internal measurement readout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$0.65</w:t>
            </w:r>
          </w:p>
          <w:p>
            <w:pPr>
              <w:spacing w:after="40"/>
            </w:pPr>
            <w:r>
              <w:rPr>
                <w:rFonts w:ascii="Calibri" w:hAnsi="Calibri"/>
                <w:b/>
                <w:i w:val="0"/>
                <w:color w:val="5B6472"/>
                <w:sz w:val="16"/>
              </w:rPr>
              <w:t>BLENDED INCREMENTAL PER $1</w:t>
            </w:r>
          </w:p>
        </w:tc>
        <w:tc>
          <w:tcPr>
            <w:tcW w:type="dxa" w:w="2376"/>
            <w:shd w:val="clear" w:color="auto" w:fill="F5F7F9"/>
          </w:tcPr>
          <w:p>
            <w:pPr>
              <w:spacing w:after="40"/>
            </w:pPr>
            <w:r>
              <w:rPr>
                <w:rFonts w:ascii="Calibri" w:hAnsi="Calibri"/>
                <w:b/>
                <w:i w:val="0"/>
                <w:color w:val="1F2A44"/>
                <w:sz w:val="34"/>
              </w:rPr>
              <w:t>1.20</w:t>
            </w:r>
          </w:p>
          <w:p>
            <w:pPr>
              <w:spacing w:after="40"/>
            </w:pPr>
            <w:r>
              <w:rPr>
                <w:rFonts w:ascii="Calibri" w:hAnsi="Calibri"/>
                <w:b/>
                <w:i w:val="0"/>
                <w:color w:val="5B6472"/>
                <w:sz w:val="16"/>
              </w:rPr>
              <w:t>BEST PLATFORM RATIO</w:t>
            </w:r>
          </w:p>
        </w:tc>
        <w:tc>
          <w:tcPr>
            <w:tcW w:type="dxa" w:w="2376"/>
            <w:shd w:val="clear" w:color="auto" w:fill="F5F7F9"/>
          </w:tcPr>
          <w:p>
            <w:pPr>
              <w:spacing w:after="40"/>
            </w:pPr>
            <w:r>
              <w:rPr>
                <w:rFonts w:ascii="Calibri" w:hAnsi="Calibri"/>
                <w:b/>
                <w:i w:val="0"/>
                <w:color w:val="1F2A44"/>
                <w:sz w:val="34"/>
              </w:rPr>
              <w:t>0.40</w:t>
            </w:r>
          </w:p>
          <w:p>
            <w:pPr>
              <w:spacing w:after="40"/>
            </w:pPr>
            <w:r>
              <w:rPr>
                <w:rFonts w:ascii="Calibri" w:hAnsi="Calibri"/>
                <w:b/>
                <w:i w:val="0"/>
                <w:color w:val="5B6472"/>
                <w:sz w:val="16"/>
              </w:rPr>
              <w:t>WORST PLATFORM RATIO</w:t>
            </w:r>
          </w:p>
        </w:tc>
        <w:tc>
          <w:tcPr>
            <w:tcW w:type="dxa" w:w="2376"/>
            <w:shd w:val="clear" w:color="auto" w:fill="F5F7F9"/>
          </w:tcPr>
          <w:p>
            <w:pPr>
              <w:spacing w:after="40"/>
            </w:pPr>
            <w:r>
              <w:rPr>
                <w:rFonts w:ascii="Calibri" w:hAnsi="Calibri"/>
                <w:b/>
                <w:i w:val="0"/>
                <w:color w:val="1F2A44"/>
                <w:sz w:val="34"/>
              </w:rPr>
              <w:t>$700K</w:t>
            </w:r>
          </w:p>
          <w:p>
            <w:pPr>
              <w:spacing w:after="40"/>
            </w:pPr>
            <w:r>
              <w:rPr>
                <w:rFonts w:ascii="Calibri" w:hAnsi="Calibri"/>
                <w:b/>
                <w:i w:val="0"/>
                <w:color w:val="5B6472"/>
                <w:sz w:val="16"/>
              </w:rPr>
              <w:t>RECOMMENDED MOVE</w:t>
            </w:r>
          </w:p>
        </w:tc>
      </w:tr>
    </w:tbl>
    <w:p>
      <w:pPr>
        <w:keepNext w:val="0"/>
        <w:spacing w:after="80" w:before="0" w:line="274" w:lineRule="auto"/>
      </w:pPr>
    </w:p>
    <w:p>
      <w:pPr>
        <w:keepNext/>
        <w:spacing w:after="40" w:before="240" w:line="274" w:lineRule="auto"/>
      </w:pPr>
      <w:r>
        <w:rPr>
          <w:rFonts w:ascii="Calibri" w:hAnsi="Calibri"/>
          <w:b/>
          <w:i w:val="0"/>
          <w:color w:val="2E7D75"/>
          <w:sz w:val="18"/>
        </w:rPr>
        <w:t>THE READ</w:t>
      </w:r>
    </w:p>
    <w:p>
      <w:pPr>
        <w:keepNext/>
        <w:spacing w:after="100" w:before="0" w:line="274" w:lineRule="auto"/>
      </w:pPr>
      <w:r>
        <w:rPr>
          <w:rFonts w:ascii="Calibri" w:hAnsi="Calibri"/>
          <w:b/>
          <w:i w:val="0"/>
          <w:color w:val="1F2A44"/>
          <w:sz w:val="31"/>
        </w:rPr>
        <w:t>1 · The average hides the decision</w:t>
      </w:r>
    </w:p>
    <w:p>
      <w:pPr>
        <w:keepNext w:val="0"/>
        <w:spacing w:after="160" w:before="0" w:line="293" w:lineRule="auto"/>
      </w:pPr>
      <w:r>
        <w:rPr>
          <w:rFonts w:ascii="Calibri" w:hAnsi="Calibri"/>
          <w:b w:val="0"/>
          <w:i/>
          <w:color w:val="5B6472"/>
          <w:sz w:val="24"/>
        </w:rPr>
        <w:t>$0.65 of modelled incremental revenue per dollar is an acceptable blended number produced by two platforms subsidising two others.</w:t>
      </w:r>
    </w:p>
    <w:p>
      <w:pPr>
        <w:keepNext w:val="0"/>
        <w:spacing w:after="120" w:before="0" w:line="274" w:lineRule="auto"/>
      </w:pPr>
      <w:r>
        <w:rPr>
          <w:rFonts w:ascii="Calibri" w:hAnsi="Calibri"/>
          <w:b w:val="0"/>
          <w:i w:val="0"/>
          <w:color w:val="2B2F38"/>
          <w:sz w:val="21"/>
        </w:rPr>
        <w:t>Q1 FY2026 retail media spent $4.2M and returned $2.73M of modelled incremental revenue. Inside that, Walmart Connect returned 1.20 per dollar on $1.0M, while Amazon Ads returned 0.40 per dollar on $2.4M — more than twice the spend at less than a third of the return. This is the largest single efficiency leak in the marketing plan.</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471"/>
        <w:gridCol w:w="1236"/>
        <w:gridCol w:w="1901"/>
        <w:gridCol w:w="1426"/>
        <w:gridCol w:w="1426"/>
        <w:gridCol w:w="1045"/>
      </w:tblGrid>
      <w:tr>
        <w:tc>
          <w:tcPr>
            <w:tcW w:type="dxa" w:w="2471"/>
            <w:shd w:val="clear" w:color="auto" w:fill="1F2A44"/>
          </w:tcPr>
          <w:p>
            <w:pPr>
              <w:spacing w:after="20"/>
            </w:pPr>
            <w:r>
              <w:rPr>
                <w:rFonts w:ascii="Calibri" w:hAnsi="Calibri"/>
                <w:b/>
                <w:i w:val="0"/>
                <w:color w:val="FFFFFF"/>
                <w:sz w:val="17"/>
              </w:rPr>
              <w:t>Platform</w:t>
            </w:r>
          </w:p>
        </w:tc>
        <w:tc>
          <w:tcPr>
            <w:tcW w:type="dxa" w:w="1236"/>
            <w:shd w:val="clear" w:color="auto" w:fill="1F2A44"/>
          </w:tcPr>
          <w:p>
            <w:pPr>
              <w:spacing w:after="20"/>
              <w:jc w:val="right"/>
            </w:pPr>
            <w:r>
              <w:rPr>
                <w:rFonts w:ascii="Calibri" w:hAnsi="Calibri"/>
                <w:b/>
                <w:i w:val="0"/>
                <w:color w:val="FFFFFF"/>
                <w:sz w:val="17"/>
              </w:rPr>
              <w:t>Spend</w:t>
            </w:r>
          </w:p>
        </w:tc>
        <w:tc>
          <w:tcPr>
            <w:tcW w:type="dxa" w:w="1901"/>
            <w:shd w:val="clear" w:color="auto" w:fill="1F2A44"/>
          </w:tcPr>
          <w:p>
            <w:pPr>
              <w:spacing w:after="20"/>
              <w:jc w:val="right"/>
            </w:pPr>
            <w:r>
              <w:rPr>
                <w:rFonts w:ascii="Calibri" w:hAnsi="Calibri"/>
                <w:b/>
                <w:i w:val="0"/>
                <w:color w:val="FFFFFF"/>
                <w:sz w:val="17"/>
              </w:rPr>
              <w:t>Modelled incremental</w:t>
            </w:r>
          </w:p>
        </w:tc>
        <w:tc>
          <w:tcPr>
            <w:tcW w:type="dxa" w:w="1426"/>
            <w:shd w:val="clear" w:color="auto" w:fill="1F2A44"/>
          </w:tcPr>
          <w:p>
            <w:pPr>
              <w:spacing w:after="20"/>
              <w:jc w:val="right"/>
            </w:pPr>
            <w:r>
              <w:rPr>
                <w:rFonts w:ascii="Calibri" w:hAnsi="Calibri"/>
                <w:b/>
                <w:i w:val="0"/>
                <w:color w:val="FFFFFF"/>
                <w:sz w:val="17"/>
              </w:rPr>
              <w:t>Reported ROAS</w:t>
            </w:r>
          </w:p>
        </w:tc>
        <w:tc>
          <w:tcPr>
            <w:tcW w:type="dxa" w:w="1426"/>
            <w:shd w:val="clear" w:color="auto" w:fill="1F2A44"/>
          </w:tcPr>
          <w:p>
            <w:pPr>
              <w:spacing w:after="20"/>
              <w:jc w:val="right"/>
            </w:pPr>
            <w:r>
              <w:rPr>
                <w:rFonts w:ascii="Calibri" w:hAnsi="Calibri"/>
                <w:b/>
                <w:i w:val="0"/>
                <w:color w:val="FFFFFF"/>
                <w:sz w:val="17"/>
              </w:rPr>
              <w:t>Modelled ratio</w:t>
            </w:r>
          </w:p>
        </w:tc>
        <w:tc>
          <w:tcPr>
            <w:tcW w:type="dxa" w:w="1045"/>
            <w:shd w:val="clear" w:color="auto" w:fill="1F2A44"/>
          </w:tcPr>
          <w:p>
            <w:pPr>
              <w:spacing w:after="20"/>
              <w:jc w:val="right"/>
            </w:pPr>
            <w:r>
              <w:rPr>
                <w:rFonts w:ascii="Calibri" w:hAnsi="Calibri"/>
                <w:b/>
                <w:i w:val="0"/>
                <w:color w:val="FFFFFF"/>
                <w:sz w:val="17"/>
              </w:rPr>
              <w:t>Call</w:t>
            </w:r>
          </w:p>
        </w:tc>
      </w:tr>
      <w:tr>
        <w:tc>
          <w:tcPr>
            <w:tcW w:type="dxa" w:w="2471"/>
            <w:shd w:val="clear" w:color="auto" w:fill="FFFFFF"/>
          </w:tcPr>
          <w:p>
            <w:pPr>
              <w:spacing w:after="20"/>
            </w:pPr>
            <w:r>
              <w:rPr>
                <w:rFonts w:ascii="Calibri" w:hAnsi="Calibri"/>
                <w:b w:val="0"/>
                <w:i w:val="0"/>
                <w:color w:val="2B2F38"/>
                <w:sz w:val="18"/>
              </w:rPr>
              <w:t>Amazon Ads</w:t>
            </w:r>
          </w:p>
        </w:tc>
        <w:tc>
          <w:tcPr>
            <w:tcW w:type="dxa" w:w="1236"/>
            <w:shd w:val="clear" w:color="auto" w:fill="FFFFFF"/>
          </w:tcPr>
          <w:p>
            <w:pPr>
              <w:spacing w:after="20"/>
              <w:jc w:val="right"/>
            </w:pPr>
            <w:r>
              <w:rPr>
                <w:rFonts w:ascii="Calibri" w:hAnsi="Calibri"/>
                <w:b w:val="0"/>
                <w:i w:val="0"/>
                <w:color w:val="2B2F38"/>
                <w:sz w:val="18"/>
              </w:rPr>
              <w:t>$2.4M</w:t>
            </w:r>
          </w:p>
        </w:tc>
        <w:tc>
          <w:tcPr>
            <w:tcW w:type="dxa" w:w="1901"/>
            <w:shd w:val="clear" w:color="auto" w:fill="FFFFFF"/>
          </w:tcPr>
          <w:p>
            <w:pPr>
              <w:spacing w:after="20"/>
              <w:jc w:val="right"/>
            </w:pPr>
            <w:r>
              <w:rPr>
                <w:rFonts w:ascii="Calibri" w:hAnsi="Calibri"/>
                <w:b w:val="0"/>
                <w:i w:val="0"/>
                <w:color w:val="2B2F38"/>
                <w:sz w:val="18"/>
              </w:rPr>
              <w:t>$0.98M</w:t>
            </w:r>
          </w:p>
        </w:tc>
        <w:tc>
          <w:tcPr>
            <w:tcW w:type="dxa" w:w="1426"/>
            <w:shd w:val="clear" w:color="auto" w:fill="FFFFFF"/>
          </w:tcPr>
          <w:p>
            <w:pPr>
              <w:spacing w:after="20"/>
              <w:jc w:val="right"/>
            </w:pPr>
            <w:r>
              <w:rPr>
                <w:rFonts w:ascii="Calibri" w:hAnsi="Calibri"/>
                <w:b w:val="0"/>
                <w:i w:val="0"/>
                <w:color w:val="2B2F38"/>
                <w:sz w:val="18"/>
              </w:rPr>
              <w:t>1.12</w:t>
            </w:r>
          </w:p>
        </w:tc>
        <w:tc>
          <w:tcPr>
            <w:tcW w:type="dxa" w:w="1426"/>
            <w:shd w:val="clear" w:color="auto" w:fill="FFFFFF"/>
          </w:tcPr>
          <w:p>
            <w:pPr>
              <w:spacing w:after="20"/>
              <w:jc w:val="right"/>
            </w:pPr>
            <w:r>
              <w:rPr>
                <w:rFonts w:ascii="Calibri" w:hAnsi="Calibri"/>
                <w:b w:val="0"/>
                <w:i w:val="0"/>
                <w:color w:val="2B2F38"/>
                <w:sz w:val="18"/>
              </w:rPr>
              <w:t>0.40</w:t>
            </w:r>
          </w:p>
        </w:tc>
        <w:tc>
          <w:tcPr>
            <w:tcW w:type="dxa" w:w="1045"/>
            <w:shd w:val="clear" w:color="auto" w:fill="FFFFFF"/>
          </w:tcPr>
          <w:p>
            <w:pPr>
              <w:spacing w:after="20"/>
              <w:jc w:val="right"/>
            </w:pPr>
            <w:r>
              <w:rPr>
                <w:rFonts w:ascii="Calibri" w:hAnsi="Calibri"/>
                <w:b/>
                <w:i w:val="0"/>
                <w:color w:val="B24A2E"/>
                <w:sz w:val="18"/>
              </w:rPr>
              <w:t>Reallocate</w:t>
            </w:r>
          </w:p>
        </w:tc>
      </w:tr>
      <w:tr>
        <w:tc>
          <w:tcPr>
            <w:tcW w:type="dxa" w:w="2471"/>
            <w:shd w:val="clear" w:color="auto" w:fill="F5F7F9"/>
          </w:tcPr>
          <w:p>
            <w:pPr>
              <w:spacing w:after="20"/>
            </w:pPr>
            <w:r>
              <w:rPr>
                <w:rFonts w:ascii="Calibri" w:hAnsi="Calibri"/>
                <w:b w:val="0"/>
                <w:i w:val="0"/>
                <w:color w:val="2B2F38"/>
                <w:sz w:val="18"/>
              </w:rPr>
              <w:t>Walmart Connect</w:t>
            </w:r>
          </w:p>
        </w:tc>
        <w:tc>
          <w:tcPr>
            <w:tcW w:type="dxa" w:w="1236"/>
            <w:shd w:val="clear" w:color="auto" w:fill="F5F7F9"/>
          </w:tcPr>
          <w:p>
            <w:pPr>
              <w:spacing w:after="20"/>
              <w:jc w:val="right"/>
            </w:pPr>
            <w:r>
              <w:rPr>
                <w:rFonts w:ascii="Calibri" w:hAnsi="Calibri"/>
                <w:b w:val="0"/>
                <w:i w:val="0"/>
                <w:color w:val="2B2F38"/>
                <w:sz w:val="18"/>
              </w:rPr>
              <w:t>$1.0M</w:t>
            </w:r>
          </w:p>
        </w:tc>
        <w:tc>
          <w:tcPr>
            <w:tcW w:type="dxa" w:w="1901"/>
            <w:shd w:val="clear" w:color="auto" w:fill="F5F7F9"/>
          </w:tcPr>
          <w:p>
            <w:pPr>
              <w:spacing w:after="20"/>
              <w:jc w:val="right"/>
            </w:pPr>
            <w:r>
              <w:rPr>
                <w:rFonts w:ascii="Calibri" w:hAnsi="Calibri"/>
                <w:b w:val="0"/>
                <w:i w:val="0"/>
                <w:color w:val="2B2F38"/>
                <w:sz w:val="18"/>
              </w:rPr>
              <w:t>$1.21M</w:t>
            </w:r>
          </w:p>
        </w:tc>
        <w:tc>
          <w:tcPr>
            <w:tcW w:type="dxa" w:w="1426"/>
            <w:shd w:val="clear" w:color="auto" w:fill="F5F7F9"/>
          </w:tcPr>
          <w:p>
            <w:pPr>
              <w:spacing w:after="20"/>
              <w:jc w:val="right"/>
            </w:pPr>
            <w:r>
              <w:rPr>
                <w:rFonts w:ascii="Calibri" w:hAnsi="Calibri"/>
                <w:b w:val="0"/>
                <w:i w:val="0"/>
                <w:color w:val="2B2F38"/>
                <w:sz w:val="18"/>
              </w:rPr>
              <w:t>2.06</w:t>
            </w:r>
          </w:p>
        </w:tc>
        <w:tc>
          <w:tcPr>
            <w:tcW w:type="dxa" w:w="1426"/>
            <w:shd w:val="clear" w:color="auto" w:fill="F5F7F9"/>
          </w:tcPr>
          <w:p>
            <w:pPr>
              <w:spacing w:after="20"/>
              <w:jc w:val="right"/>
            </w:pPr>
            <w:r>
              <w:rPr>
                <w:rFonts w:ascii="Calibri" w:hAnsi="Calibri"/>
                <w:b w:val="0"/>
                <w:i w:val="0"/>
                <w:color w:val="2B2F38"/>
                <w:sz w:val="18"/>
              </w:rPr>
              <w:t>1.20</w:t>
            </w:r>
          </w:p>
        </w:tc>
        <w:tc>
          <w:tcPr>
            <w:tcW w:type="dxa" w:w="1045"/>
            <w:shd w:val="clear" w:color="auto" w:fill="F5F7F9"/>
          </w:tcPr>
          <w:p>
            <w:pPr>
              <w:spacing w:after="20"/>
              <w:jc w:val="right"/>
            </w:pPr>
            <w:r>
              <w:rPr>
                <w:rFonts w:ascii="Calibri" w:hAnsi="Calibri"/>
                <w:b/>
                <w:i w:val="0"/>
                <w:color w:val="2E7D5B"/>
                <w:sz w:val="18"/>
              </w:rPr>
              <w:t>Reinvest</w:t>
            </w:r>
          </w:p>
        </w:tc>
      </w:tr>
      <w:tr>
        <w:tc>
          <w:tcPr>
            <w:tcW w:type="dxa" w:w="2471"/>
            <w:shd w:val="clear" w:color="auto" w:fill="FFFFFF"/>
          </w:tcPr>
          <w:p>
            <w:pPr>
              <w:spacing w:after="20"/>
            </w:pPr>
            <w:r>
              <w:rPr>
                <w:rFonts w:ascii="Calibri" w:hAnsi="Calibri"/>
                <w:b w:val="0"/>
                <w:i w:val="0"/>
                <w:color w:val="2B2F38"/>
                <w:sz w:val="18"/>
              </w:rPr>
              <w:t>Kroger Precision Marketing</w:t>
            </w:r>
          </w:p>
        </w:tc>
        <w:tc>
          <w:tcPr>
            <w:tcW w:type="dxa" w:w="1236"/>
            <w:shd w:val="clear" w:color="auto" w:fill="FFFFFF"/>
          </w:tcPr>
          <w:p>
            <w:pPr>
              <w:spacing w:after="20"/>
              <w:jc w:val="right"/>
            </w:pPr>
            <w:r>
              <w:rPr>
                <w:rFonts w:ascii="Calibri" w:hAnsi="Calibri"/>
                <w:b w:val="0"/>
                <w:i w:val="0"/>
                <w:color w:val="2B2F38"/>
                <w:sz w:val="18"/>
              </w:rPr>
              <w:t>$0.4M</w:t>
            </w:r>
          </w:p>
        </w:tc>
        <w:tc>
          <w:tcPr>
            <w:tcW w:type="dxa" w:w="1901"/>
            <w:shd w:val="clear" w:color="auto" w:fill="FFFFFF"/>
          </w:tcPr>
          <w:p>
            <w:pPr>
              <w:spacing w:after="20"/>
              <w:jc w:val="right"/>
            </w:pPr>
            <w:r>
              <w:rPr>
                <w:rFonts w:ascii="Calibri" w:hAnsi="Calibri"/>
                <w:b w:val="0"/>
                <w:i w:val="0"/>
                <w:color w:val="2B2F38"/>
                <w:sz w:val="18"/>
              </w:rPr>
              <w:t>$0.32M</w:t>
            </w:r>
          </w:p>
        </w:tc>
        <w:tc>
          <w:tcPr>
            <w:tcW w:type="dxa" w:w="1426"/>
            <w:shd w:val="clear" w:color="auto" w:fill="FFFFFF"/>
          </w:tcPr>
          <w:p>
            <w:pPr>
              <w:spacing w:after="20"/>
              <w:jc w:val="right"/>
            </w:pPr>
            <w:r>
              <w:rPr>
                <w:rFonts w:ascii="Calibri" w:hAnsi="Calibri"/>
                <w:b w:val="0"/>
                <w:i w:val="0"/>
                <w:color w:val="2B2F38"/>
                <w:sz w:val="18"/>
              </w:rPr>
              <w:t>1.43</w:t>
            </w:r>
          </w:p>
        </w:tc>
        <w:tc>
          <w:tcPr>
            <w:tcW w:type="dxa" w:w="1426"/>
            <w:shd w:val="clear" w:color="auto" w:fill="FFFFFF"/>
          </w:tcPr>
          <w:p>
            <w:pPr>
              <w:spacing w:after="20"/>
              <w:jc w:val="right"/>
            </w:pPr>
            <w:r>
              <w:rPr>
                <w:rFonts w:ascii="Calibri" w:hAnsi="Calibri"/>
                <w:b w:val="0"/>
                <w:i w:val="0"/>
                <w:color w:val="2B2F38"/>
                <w:sz w:val="18"/>
              </w:rPr>
              <w:t>0.77</w:t>
            </w:r>
          </w:p>
        </w:tc>
        <w:tc>
          <w:tcPr>
            <w:tcW w:type="dxa" w:w="1045"/>
            <w:shd w:val="clear" w:color="auto" w:fill="FFFFFF"/>
          </w:tcPr>
          <w:p>
            <w:pPr>
              <w:spacing w:after="20"/>
              <w:jc w:val="right"/>
            </w:pPr>
            <w:r>
              <w:rPr>
                <w:rFonts w:ascii="Calibri" w:hAnsi="Calibri"/>
                <w:b/>
                <w:i w:val="0"/>
                <w:color w:val="B24A2E"/>
                <w:sz w:val="18"/>
              </w:rPr>
              <w:t>Reallocate</w:t>
            </w:r>
          </w:p>
        </w:tc>
      </w:tr>
      <w:tr>
        <w:tc>
          <w:tcPr>
            <w:tcW w:type="dxa" w:w="2471"/>
            <w:shd w:val="clear" w:color="auto" w:fill="F5F7F9"/>
          </w:tcPr>
          <w:p>
            <w:pPr>
              <w:spacing w:after="20"/>
            </w:pPr>
            <w:r>
              <w:rPr>
                <w:rFonts w:ascii="Calibri" w:hAnsi="Calibri"/>
                <w:b w:val="0"/>
                <w:i w:val="0"/>
                <w:color w:val="2B2F38"/>
                <w:sz w:val="18"/>
              </w:rPr>
              <w:t>Target Roundel</w:t>
            </w:r>
          </w:p>
        </w:tc>
        <w:tc>
          <w:tcPr>
            <w:tcW w:type="dxa" w:w="1236"/>
            <w:shd w:val="clear" w:color="auto" w:fill="F5F7F9"/>
          </w:tcPr>
          <w:p>
            <w:pPr>
              <w:spacing w:after="20"/>
              <w:jc w:val="right"/>
            </w:pPr>
            <w:r>
              <w:rPr>
                <w:rFonts w:ascii="Calibri" w:hAnsi="Calibri"/>
                <w:b w:val="0"/>
                <w:i w:val="0"/>
                <w:color w:val="2B2F38"/>
                <w:sz w:val="18"/>
              </w:rPr>
              <w:t>$0.4M</w:t>
            </w:r>
          </w:p>
        </w:tc>
        <w:tc>
          <w:tcPr>
            <w:tcW w:type="dxa" w:w="1901"/>
            <w:shd w:val="clear" w:color="auto" w:fill="F5F7F9"/>
          </w:tcPr>
          <w:p>
            <w:pPr>
              <w:spacing w:after="20"/>
              <w:jc w:val="right"/>
            </w:pPr>
            <w:r>
              <w:rPr>
                <w:rFonts w:ascii="Calibri" w:hAnsi="Calibri"/>
                <w:b w:val="0"/>
                <w:i w:val="0"/>
                <w:color w:val="2B2F38"/>
                <w:sz w:val="18"/>
              </w:rPr>
              <w:t>$0.22M</w:t>
            </w:r>
          </w:p>
        </w:tc>
        <w:tc>
          <w:tcPr>
            <w:tcW w:type="dxa" w:w="1426"/>
            <w:shd w:val="clear" w:color="auto" w:fill="F5F7F9"/>
          </w:tcPr>
          <w:p>
            <w:pPr>
              <w:spacing w:after="20"/>
              <w:jc w:val="right"/>
            </w:pPr>
            <w:r>
              <w:rPr>
                <w:rFonts w:ascii="Calibri" w:hAnsi="Calibri"/>
                <w:b w:val="0"/>
                <w:i w:val="0"/>
                <w:color w:val="2B2F38"/>
                <w:sz w:val="18"/>
              </w:rPr>
              <w:t>1.16</w:t>
            </w:r>
          </w:p>
        </w:tc>
        <w:tc>
          <w:tcPr>
            <w:tcW w:type="dxa" w:w="1426"/>
            <w:shd w:val="clear" w:color="auto" w:fill="F5F7F9"/>
          </w:tcPr>
          <w:p>
            <w:pPr>
              <w:spacing w:after="20"/>
              <w:jc w:val="right"/>
            </w:pPr>
            <w:r>
              <w:rPr>
                <w:rFonts w:ascii="Calibri" w:hAnsi="Calibri"/>
                <w:b w:val="0"/>
                <w:i w:val="0"/>
                <w:color w:val="2B2F38"/>
                <w:sz w:val="18"/>
              </w:rPr>
              <w:t>0.50</w:t>
            </w:r>
          </w:p>
        </w:tc>
        <w:tc>
          <w:tcPr>
            <w:tcW w:type="dxa" w:w="1045"/>
            <w:shd w:val="clear" w:color="auto" w:fill="F5F7F9"/>
          </w:tcPr>
          <w:p>
            <w:pPr>
              <w:spacing w:after="20"/>
              <w:jc w:val="right"/>
            </w:pPr>
            <w:r>
              <w:rPr>
                <w:rFonts w:ascii="Calibri" w:hAnsi="Calibri"/>
                <w:b/>
                <w:i w:val="0"/>
                <w:color w:val="B24A2E"/>
                <w:sz w:val="18"/>
              </w:rPr>
              <w:t>Reallocate</w:t>
            </w:r>
          </w:p>
        </w:tc>
      </w:tr>
      <w:tr>
        <w:tc>
          <w:tcPr>
            <w:tcW w:type="dxa" w:w="2471"/>
            <w:shd w:val="clear" w:color="auto" w:fill="EAEEF2"/>
          </w:tcPr>
          <w:p>
            <w:pPr>
              <w:spacing w:after="20"/>
            </w:pPr>
            <w:r>
              <w:rPr>
                <w:rFonts w:ascii="Calibri" w:hAnsi="Calibri"/>
                <w:b/>
                <w:i w:val="0"/>
                <w:color w:val="2B2F38"/>
                <w:sz w:val="18"/>
              </w:rPr>
              <w:t>Total</w:t>
            </w:r>
          </w:p>
        </w:tc>
        <w:tc>
          <w:tcPr>
            <w:tcW w:type="dxa" w:w="1236"/>
            <w:shd w:val="clear" w:color="auto" w:fill="EAEEF2"/>
          </w:tcPr>
          <w:p>
            <w:pPr>
              <w:spacing w:after="20"/>
              <w:jc w:val="right"/>
            </w:pPr>
            <w:r>
              <w:rPr>
                <w:rFonts w:ascii="Calibri" w:hAnsi="Calibri"/>
                <w:b/>
                <w:i w:val="0"/>
                <w:color w:val="2B2F38"/>
                <w:sz w:val="18"/>
              </w:rPr>
              <w:t>$4.2M</w:t>
            </w:r>
          </w:p>
        </w:tc>
        <w:tc>
          <w:tcPr>
            <w:tcW w:type="dxa" w:w="1901"/>
            <w:shd w:val="clear" w:color="auto" w:fill="EAEEF2"/>
          </w:tcPr>
          <w:p>
            <w:pPr>
              <w:spacing w:after="20"/>
              <w:jc w:val="right"/>
            </w:pPr>
            <w:r>
              <w:rPr>
                <w:rFonts w:ascii="Calibri" w:hAnsi="Calibri"/>
                <w:b/>
                <w:i w:val="0"/>
                <w:color w:val="2B2F38"/>
                <w:sz w:val="18"/>
              </w:rPr>
              <w:t>$2.73M</w:t>
            </w:r>
          </w:p>
        </w:tc>
        <w:tc>
          <w:tcPr>
            <w:tcW w:type="dxa" w:w="1426"/>
            <w:shd w:val="clear" w:color="auto" w:fill="EAEEF2"/>
          </w:tcPr>
          <w:p>
            <w:pPr>
              <w:spacing w:after="20"/>
              <w:jc w:val="right"/>
            </w:pPr>
            <w:r>
              <w:rPr>
                <w:rFonts w:ascii="Calibri" w:hAnsi="Calibri"/>
                <w:b/>
                <w:i w:val="0"/>
                <w:color w:val="2B2F38"/>
                <w:sz w:val="18"/>
              </w:rPr>
              <w:t>1.44</w:t>
            </w:r>
          </w:p>
        </w:tc>
        <w:tc>
          <w:tcPr>
            <w:tcW w:type="dxa" w:w="1426"/>
            <w:shd w:val="clear" w:color="auto" w:fill="EAEEF2"/>
          </w:tcPr>
          <w:p>
            <w:pPr>
              <w:spacing w:after="20"/>
              <w:jc w:val="right"/>
            </w:pPr>
            <w:r>
              <w:rPr>
                <w:rFonts w:ascii="Calibri" w:hAnsi="Calibri"/>
                <w:b/>
                <w:i w:val="0"/>
                <w:color w:val="2B2F38"/>
                <w:sz w:val="18"/>
              </w:rPr>
              <w:t>0.65</w:t>
            </w:r>
          </w:p>
        </w:tc>
        <w:tc>
          <w:tcPr>
            <w:tcW w:type="dxa" w:w="1045"/>
            <w:shd w:val="clear" w:color="auto" w:fill="EAEEF2"/>
          </w:tcPr>
          <w:p>
            <w:pPr>
              <w:spacing w:after="20"/>
              <w:jc w:val="right"/>
            </w:pPr>
            <w:r>
              <w:rPr>
                <w:rFonts w:ascii="Calibri" w:hAnsi="Calibri"/>
                <w:b/>
                <w:i w:val="0"/>
                <w:color w:val="2B2F38"/>
                <w:sz w:val="18"/>
              </w:rPr>
              <w:t>Rebalance</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seed_retail_media_spend_q1_2026. Modelled incrementality governs budget decisions; platform-reported ROAS is shown for contrast only.</w:t>
      </w:r>
    </w:p>
    <w:p>
      <w:pPr>
        <w:spacing w:before="80" w:after="40"/>
      </w:pPr>
      <w:r>
        <w:drawing>
          <wp:inline xmlns:a="http://schemas.openxmlformats.org/drawingml/2006/main" xmlns:pic="http://schemas.openxmlformats.org/drawingml/2006/picture">
            <wp:extent cx="6035040" cy="2440370"/>
            <wp:docPr id="1" name="Picture 1"/>
            <wp:cNvGraphicFramePr>
              <a:graphicFrameLocks noChangeAspect="1"/>
            </wp:cNvGraphicFramePr>
            <a:graphic>
              <a:graphicData uri="http://schemas.openxmlformats.org/drawingml/2006/picture">
                <pic:pic>
                  <pic:nvPicPr>
                    <pic:cNvPr id="0" name="r74_gap.png"/>
                    <pic:cNvPicPr/>
                  </pic:nvPicPr>
                  <pic:blipFill>
                    <a:blip r:embed="rId10"/>
                    <a:stretch>
                      <a:fillRect/>
                    </a:stretch>
                  </pic:blipFill>
                  <pic:spPr>
                    <a:xfrm>
                      <a:off x="0" y="0"/>
                      <a:ext cx="6035040" cy="2440370"/>
                    </a:xfrm>
                    <a:prstGeom prst="rect"/>
                  </pic:spPr>
                </pic:pic>
              </a:graphicData>
            </a:graphic>
          </wp:inline>
        </w:drawing>
      </w:r>
    </w:p>
    <w:p>
      <w:pPr>
        <w:keepNext w:val="0"/>
        <w:spacing w:after="160" w:before="0" w:line="274" w:lineRule="auto"/>
      </w:pPr>
      <w:r>
        <w:rPr>
          <w:rFonts w:ascii="Calibri" w:hAnsi="Calibri"/>
          <w:b w:val="0"/>
          <w:i/>
          <w:color w:val="5B6472"/>
          <w:sz w:val="17"/>
        </w:rPr>
        <w:t>Every platform reports better than the model. The size of the gap is the useful signal.</w:t>
      </w:r>
    </w:p>
    <w:p>
      <w:pPr>
        <w:keepNext/>
        <w:spacing w:after="40" w:before="240" w:line="274" w:lineRule="auto"/>
      </w:pPr>
      <w:r>
        <w:rPr>
          <w:rFonts w:ascii="Calibri" w:hAnsi="Calibri"/>
          <w:b/>
          <w:i w:val="0"/>
          <w:color w:val="2E7D75"/>
          <w:sz w:val="18"/>
        </w:rPr>
        <w:t>WHY THE GAP</w:t>
      </w:r>
    </w:p>
    <w:p>
      <w:pPr>
        <w:keepNext/>
        <w:spacing w:after="100" w:before="0" w:line="274" w:lineRule="auto"/>
      </w:pPr>
      <w:r>
        <w:rPr>
          <w:rFonts w:ascii="Calibri" w:hAnsi="Calibri"/>
          <w:b/>
          <w:i w:val="0"/>
          <w:color w:val="1F2A44"/>
          <w:sz w:val="31"/>
        </w:rPr>
        <w:t>2 · Reported ROAS and modelled incrementality are different questions</w:t>
      </w:r>
    </w:p>
    <w:p>
      <w:pPr>
        <w:keepNext w:val="0"/>
        <w:spacing w:after="120" w:before="0" w:line="274" w:lineRule="auto"/>
      </w:pPr>
      <w:r>
        <w:rPr>
          <w:rFonts w:ascii="Calibri" w:hAnsi="Calibri"/>
          <w:b w:val="0"/>
          <w:i w:val="0"/>
          <w:color w:val="2B2F38"/>
          <w:sz w:val="21"/>
        </w:rPr>
        <w:t>Platform-reported ROAS answers "how much revenue is associated with exposure to this ad?" Modelled incrementality answers "how much of that revenue would not have happened otherwise?" The second question is the one a budget decision needs. Amazon shows the widest gap — reported 1.12 against modelled 0.40 — largely because a substantial share of exposed purchases are base purchases from customers who were already buying. Walmart Connect shows the narrowest gap and is the only platform above 1.0 on the modelled measure.</w:t>
      </w:r>
    </w:p>
    <w:tbl>
      <w:tblPr>
        <w:tblW w:w="9504" w:type="dxa"/>
        <w:tblBorders>
          <w:top w:val="none"/>
          <w:left w:val="single" w:sz="24" w:color="2E7D75"/>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The governance point</w:t>
            </w:r>
          </w:p>
          <w:p>
            <w:pPr>
              <w:spacing w:after="40" w:line="274" w:lineRule="auto"/>
            </w:pPr>
            <w:r>
              <w:rPr>
                <w:rFonts w:ascii="Calibri" w:hAnsi="Calibri"/>
                <w:b w:val="0"/>
                <w:i w:val="0"/>
                <w:color w:val="2B2F38"/>
                <w:sz w:val="20"/>
              </w:rPr>
              <w:t>This is not an accusation that platform numbers are wrong. They measure what they say they measure. The discipline we are adopting is that budget allocation uses modelled incrementality and platform dashboards are used for in-flight optimisation only (Report 75).</w:t>
            </w:r>
          </w:p>
        </w:tc>
      </w:tr>
    </w:tbl>
    <w:p>
      <w:pPr>
        <w:keepNext w:val="0"/>
        <w:spacing w:after="80" w:before="0" w:line="274" w:lineRule="auto"/>
      </w:pPr>
    </w:p>
    <w:p>
      <w:pPr>
        <w:keepNext/>
        <w:spacing w:after="40" w:before="240" w:line="274" w:lineRule="auto"/>
      </w:pPr>
      <w:r>
        <w:rPr>
          <w:rFonts w:ascii="Calibri" w:hAnsi="Calibri"/>
          <w:b/>
          <w:i w:val="0"/>
          <w:color w:val="2E7D75"/>
          <w:sz w:val="18"/>
        </w:rPr>
        <w:t>BY BRAND</w:t>
      </w:r>
    </w:p>
    <w:p>
      <w:pPr>
        <w:keepNext/>
        <w:spacing w:after="100" w:before="0" w:line="274" w:lineRule="auto"/>
      </w:pPr>
      <w:r>
        <w:rPr>
          <w:rFonts w:ascii="Calibri" w:hAnsi="Calibri"/>
          <w:b/>
          <w:i w:val="0"/>
          <w:color w:val="1F2A44"/>
          <w:sz w:val="31"/>
        </w:rPr>
        <w:t>3 · Which brands are getting value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2091"/>
        <w:gridCol w:w="2471"/>
        <w:gridCol w:w="1711"/>
      </w:tblGrid>
      <w:tr>
        <w:tc>
          <w:tcPr>
            <w:tcW w:type="dxa" w:w="3231"/>
            <w:shd w:val="clear" w:color="auto" w:fill="1F2A44"/>
          </w:tcPr>
          <w:p>
            <w:pPr>
              <w:spacing w:after="20"/>
            </w:pPr>
            <w:r>
              <w:rPr>
                <w:rFonts w:ascii="Calibri" w:hAnsi="Calibri"/>
                <w:b/>
                <w:i w:val="0"/>
                <w:color w:val="FFFFFF"/>
                <w:sz w:val="18"/>
              </w:rPr>
              <w:t>Brand</w:t>
            </w:r>
          </w:p>
        </w:tc>
        <w:tc>
          <w:tcPr>
            <w:tcW w:type="dxa" w:w="2091"/>
            <w:shd w:val="clear" w:color="auto" w:fill="1F2A44"/>
          </w:tcPr>
          <w:p>
            <w:pPr>
              <w:spacing w:after="20"/>
              <w:jc w:val="right"/>
            </w:pPr>
            <w:r>
              <w:rPr>
                <w:rFonts w:ascii="Calibri" w:hAnsi="Calibri"/>
                <w:b/>
                <w:i w:val="0"/>
                <w:color w:val="FFFFFF"/>
                <w:sz w:val="18"/>
              </w:rPr>
              <w:t>Spend</w:t>
            </w:r>
          </w:p>
        </w:tc>
        <w:tc>
          <w:tcPr>
            <w:tcW w:type="dxa" w:w="2471"/>
            <w:shd w:val="clear" w:color="auto" w:fill="1F2A44"/>
          </w:tcPr>
          <w:p>
            <w:pPr>
              <w:spacing w:after="20"/>
              <w:jc w:val="right"/>
            </w:pPr>
            <w:r>
              <w:rPr>
                <w:rFonts w:ascii="Calibri" w:hAnsi="Calibri"/>
                <w:b/>
                <w:i w:val="0"/>
                <w:color w:val="FFFFFF"/>
                <w:sz w:val="18"/>
              </w:rPr>
              <w:t>Modelled incremental</w:t>
            </w:r>
          </w:p>
        </w:tc>
        <w:tc>
          <w:tcPr>
            <w:tcW w:type="dxa" w:w="1711"/>
            <w:shd w:val="clear" w:color="auto" w:fill="1F2A44"/>
          </w:tcPr>
          <w:p>
            <w:pPr>
              <w:spacing w:after="20"/>
              <w:jc w:val="right"/>
            </w:pPr>
            <w:r>
              <w:rPr>
                <w:rFonts w:ascii="Calibri" w:hAnsi="Calibri"/>
                <w:b/>
                <w:i w:val="0"/>
                <w:color w:val="FFFFFF"/>
                <w:sz w:val="18"/>
              </w:rPr>
              <w:t>Ratio</w:t>
            </w:r>
          </w:p>
        </w:tc>
      </w:tr>
      <w:tr>
        <w:tc>
          <w:tcPr>
            <w:tcW w:type="dxa" w:w="3231"/>
            <w:shd w:val="clear" w:color="auto" w:fill="FFFFFF"/>
          </w:tcPr>
          <w:p>
            <w:pPr>
              <w:spacing w:after="20"/>
            </w:pPr>
            <w:r>
              <w:rPr>
                <w:rFonts w:ascii="Calibri" w:hAnsi="Calibri"/>
                <w:b w:val="0"/>
                <w:i w:val="0"/>
                <w:color w:val="2B2F38"/>
                <w:sz w:val="19"/>
              </w:rPr>
              <w:t>Crunchwell</w:t>
            </w:r>
          </w:p>
        </w:tc>
        <w:tc>
          <w:tcPr>
            <w:tcW w:type="dxa" w:w="2091"/>
            <w:shd w:val="clear" w:color="auto" w:fill="FFFFFF"/>
          </w:tcPr>
          <w:p>
            <w:pPr>
              <w:spacing w:after="20"/>
              <w:jc w:val="right"/>
            </w:pPr>
            <w:r>
              <w:rPr>
                <w:rFonts w:ascii="Calibri" w:hAnsi="Calibri"/>
                <w:b w:val="0"/>
                <w:i w:val="0"/>
                <w:color w:val="2B2F38"/>
                <w:sz w:val="19"/>
              </w:rPr>
              <w:t>$2.14M</w:t>
            </w:r>
          </w:p>
        </w:tc>
        <w:tc>
          <w:tcPr>
            <w:tcW w:type="dxa" w:w="2471"/>
            <w:shd w:val="clear" w:color="auto" w:fill="FFFFFF"/>
          </w:tcPr>
          <w:p>
            <w:pPr>
              <w:spacing w:after="20"/>
              <w:jc w:val="right"/>
            </w:pPr>
            <w:r>
              <w:rPr>
                <w:rFonts w:ascii="Calibri" w:hAnsi="Calibri"/>
                <w:b w:val="0"/>
                <w:i w:val="0"/>
                <w:color w:val="2B2F38"/>
                <w:sz w:val="19"/>
              </w:rPr>
              <w:t>$1.51M</w:t>
            </w:r>
          </w:p>
        </w:tc>
        <w:tc>
          <w:tcPr>
            <w:tcW w:type="dxa" w:w="1711"/>
            <w:shd w:val="clear" w:color="auto" w:fill="FFFFFF"/>
          </w:tcPr>
          <w:p>
            <w:pPr>
              <w:spacing w:after="20"/>
              <w:jc w:val="right"/>
            </w:pPr>
            <w:r>
              <w:rPr>
                <w:rFonts w:ascii="Calibri" w:hAnsi="Calibri"/>
                <w:b w:val="0"/>
                <w:i w:val="0"/>
                <w:color w:val="2B2F38"/>
                <w:sz w:val="19"/>
              </w:rPr>
              <w:t>0.74</w:t>
            </w:r>
          </w:p>
        </w:tc>
      </w:tr>
      <w:tr>
        <w:tc>
          <w:tcPr>
            <w:tcW w:type="dxa" w:w="3231"/>
            <w:shd w:val="clear" w:color="auto" w:fill="F5F7F9"/>
          </w:tcPr>
          <w:p>
            <w:pPr>
              <w:spacing w:after="20"/>
            </w:pPr>
            <w:r>
              <w:rPr>
                <w:rFonts w:ascii="Calibri" w:hAnsi="Calibri"/>
                <w:b w:val="0"/>
                <w:i w:val="0"/>
                <w:color w:val="2B2F38"/>
                <w:sz w:val="19"/>
              </w:rPr>
              <w:t>ProteinPeak</w:t>
            </w:r>
          </w:p>
        </w:tc>
        <w:tc>
          <w:tcPr>
            <w:tcW w:type="dxa" w:w="2091"/>
            <w:shd w:val="clear" w:color="auto" w:fill="F5F7F9"/>
          </w:tcPr>
          <w:p>
            <w:pPr>
              <w:spacing w:after="20"/>
              <w:jc w:val="right"/>
            </w:pPr>
            <w:r>
              <w:rPr>
                <w:rFonts w:ascii="Calibri" w:hAnsi="Calibri"/>
                <w:b w:val="0"/>
                <w:i w:val="0"/>
                <w:color w:val="2B2F38"/>
                <w:sz w:val="19"/>
              </w:rPr>
              <w:t>$1.20M</w:t>
            </w:r>
          </w:p>
        </w:tc>
        <w:tc>
          <w:tcPr>
            <w:tcW w:type="dxa" w:w="2471"/>
            <w:shd w:val="clear" w:color="auto" w:fill="F5F7F9"/>
          </w:tcPr>
          <w:p>
            <w:pPr>
              <w:spacing w:after="20"/>
              <w:jc w:val="right"/>
            </w:pPr>
            <w:r>
              <w:rPr>
                <w:rFonts w:ascii="Calibri" w:hAnsi="Calibri"/>
                <w:b w:val="0"/>
                <w:i w:val="0"/>
                <w:color w:val="2B2F38"/>
                <w:sz w:val="19"/>
              </w:rPr>
              <w:t>$0.75M</w:t>
            </w:r>
          </w:p>
        </w:tc>
        <w:tc>
          <w:tcPr>
            <w:tcW w:type="dxa" w:w="1711"/>
            <w:shd w:val="clear" w:color="auto" w:fill="F5F7F9"/>
          </w:tcPr>
          <w:p>
            <w:pPr>
              <w:spacing w:after="20"/>
              <w:jc w:val="right"/>
            </w:pPr>
            <w:r>
              <w:rPr>
                <w:rFonts w:ascii="Calibri" w:hAnsi="Calibri"/>
                <w:b w:val="0"/>
                <w:i w:val="0"/>
                <w:color w:val="2B2F38"/>
                <w:sz w:val="19"/>
              </w:rPr>
              <w:t>0.82</w:t>
            </w:r>
          </w:p>
        </w:tc>
      </w:tr>
      <w:tr>
        <w:tc>
          <w:tcPr>
            <w:tcW w:type="dxa" w:w="3231"/>
            <w:shd w:val="clear" w:color="auto" w:fill="FFFFFF"/>
          </w:tcPr>
          <w:p>
            <w:pPr>
              <w:spacing w:after="20"/>
            </w:pPr>
            <w:r>
              <w:rPr>
                <w:rFonts w:ascii="Calibri" w:hAnsi="Calibri"/>
                <w:b w:val="0"/>
                <w:i w:val="0"/>
                <w:color w:val="2B2F38"/>
                <w:sz w:val="19"/>
              </w:rPr>
              <w:t>MorningOats</w:t>
            </w:r>
          </w:p>
        </w:tc>
        <w:tc>
          <w:tcPr>
            <w:tcW w:type="dxa" w:w="2091"/>
            <w:shd w:val="clear" w:color="auto" w:fill="FFFFFF"/>
          </w:tcPr>
          <w:p>
            <w:pPr>
              <w:spacing w:after="20"/>
              <w:jc w:val="right"/>
            </w:pPr>
            <w:r>
              <w:rPr>
                <w:rFonts w:ascii="Calibri" w:hAnsi="Calibri"/>
                <w:b w:val="0"/>
                <w:i w:val="0"/>
                <w:color w:val="2B2F38"/>
                <w:sz w:val="19"/>
              </w:rPr>
              <w:t>$0.41M</w:t>
            </w:r>
          </w:p>
        </w:tc>
        <w:tc>
          <w:tcPr>
            <w:tcW w:type="dxa" w:w="2471"/>
            <w:shd w:val="clear" w:color="auto" w:fill="FFFFFF"/>
          </w:tcPr>
          <w:p>
            <w:pPr>
              <w:spacing w:after="20"/>
              <w:jc w:val="right"/>
            </w:pPr>
            <w:r>
              <w:rPr>
                <w:rFonts w:ascii="Calibri" w:hAnsi="Calibri"/>
                <w:b w:val="0"/>
                <w:i w:val="0"/>
                <w:color w:val="2B2F38"/>
                <w:sz w:val="19"/>
              </w:rPr>
              <w:t>$0.25M</w:t>
            </w:r>
          </w:p>
        </w:tc>
        <w:tc>
          <w:tcPr>
            <w:tcW w:type="dxa" w:w="1711"/>
            <w:shd w:val="clear" w:color="auto" w:fill="FFFFFF"/>
          </w:tcPr>
          <w:p>
            <w:pPr>
              <w:spacing w:after="20"/>
              <w:jc w:val="right"/>
            </w:pPr>
            <w:r>
              <w:rPr>
                <w:rFonts w:ascii="Calibri" w:hAnsi="Calibri"/>
                <w:b w:val="0"/>
                <w:i w:val="0"/>
                <w:color w:val="2B2F38"/>
                <w:sz w:val="19"/>
              </w:rPr>
              <w:t>0.75</w:t>
            </w:r>
          </w:p>
        </w:tc>
      </w:tr>
      <w:tr>
        <w:tc>
          <w:tcPr>
            <w:tcW w:type="dxa" w:w="3231"/>
            <w:shd w:val="clear" w:color="auto" w:fill="F5F7F9"/>
          </w:tcPr>
          <w:p>
            <w:pPr>
              <w:spacing w:after="20"/>
            </w:pPr>
            <w:r>
              <w:rPr>
                <w:rFonts w:ascii="Calibri" w:hAnsi="Calibri"/>
                <w:b w:val="0"/>
                <w:i w:val="0"/>
                <w:color w:val="2B2F38"/>
                <w:sz w:val="19"/>
              </w:rPr>
              <w:t>TrailGrove</w:t>
            </w:r>
          </w:p>
        </w:tc>
        <w:tc>
          <w:tcPr>
            <w:tcW w:type="dxa" w:w="2091"/>
            <w:shd w:val="clear" w:color="auto" w:fill="F5F7F9"/>
          </w:tcPr>
          <w:p>
            <w:pPr>
              <w:spacing w:after="20"/>
              <w:jc w:val="right"/>
            </w:pPr>
            <w:r>
              <w:rPr>
                <w:rFonts w:ascii="Calibri" w:hAnsi="Calibri"/>
                <w:b w:val="0"/>
                <w:i w:val="0"/>
                <w:color w:val="2B2F38"/>
                <w:sz w:val="19"/>
              </w:rPr>
              <w:t>$0.30M</w:t>
            </w:r>
          </w:p>
        </w:tc>
        <w:tc>
          <w:tcPr>
            <w:tcW w:type="dxa" w:w="2471"/>
            <w:shd w:val="clear" w:color="auto" w:fill="F5F7F9"/>
          </w:tcPr>
          <w:p>
            <w:pPr>
              <w:spacing w:after="20"/>
              <w:jc w:val="right"/>
            </w:pPr>
            <w:r>
              <w:rPr>
                <w:rFonts w:ascii="Calibri" w:hAnsi="Calibri"/>
                <w:b w:val="0"/>
                <w:i w:val="0"/>
                <w:color w:val="2B2F38"/>
                <w:sz w:val="19"/>
              </w:rPr>
              <w:t>$0.11M</w:t>
            </w:r>
          </w:p>
        </w:tc>
        <w:tc>
          <w:tcPr>
            <w:tcW w:type="dxa" w:w="1711"/>
            <w:shd w:val="clear" w:color="auto" w:fill="F5F7F9"/>
          </w:tcPr>
          <w:p>
            <w:pPr>
              <w:spacing w:after="20"/>
              <w:jc w:val="right"/>
            </w:pPr>
            <w:r>
              <w:rPr>
                <w:rFonts w:ascii="Calibri" w:hAnsi="Calibri"/>
                <w:b w:val="0"/>
                <w:i w:val="0"/>
                <w:color w:val="2B2F38"/>
                <w:sz w:val="19"/>
              </w:rPr>
              <w:t>0.36</w:t>
            </w:r>
          </w:p>
        </w:tc>
      </w:tr>
      <w:tr>
        <w:tc>
          <w:tcPr>
            <w:tcW w:type="dxa" w:w="3231"/>
            <w:shd w:val="clear" w:color="auto" w:fill="FFFFFF"/>
          </w:tcPr>
          <w:p>
            <w:pPr>
              <w:spacing w:after="20"/>
            </w:pPr>
            <w:r>
              <w:rPr>
                <w:rFonts w:ascii="Calibri" w:hAnsi="Calibri"/>
                <w:b w:val="0"/>
                <w:i w:val="0"/>
                <w:color w:val="2B2F38"/>
                <w:sz w:val="19"/>
              </w:rPr>
              <w:t>HoneyNest</w:t>
            </w:r>
          </w:p>
        </w:tc>
        <w:tc>
          <w:tcPr>
            <w:tcW w:type="dxa" w:w="2091"/>
            <w:shd w:val="clear" w:color="auto" w:fill="FFFFFF"/>
          </w:tcPr>
          <w:p>
            <w:pPr>
              <w:spacing w:after="20"/>
              <w:jc w:val="right"/>
            </w:pPr>
            <w:r>
              <w:rPr>
                <w:rFonts w:ascii="Calibri" w:hAnsi="Calibri"/>
                <w:b w:val="0"/>
                <w:i w:val="0"/>
                <w:color w:val="2B2F38"/>
                <w:sz w:val="19"/>
              </w:rPr>
              <w:t>$0.11M</w:t>
            </w:r>
          </w:p>
        </w:tc>
        <w:tc>
          <w:tcPr>
            <w:tcW w:type="dxa" w:w="2471"/>
            <w:shd w:val="clear" w:color="auto" w:fill="FFFFFF"/>
          </w:tcPr>
          <w:p>
            <w:pPr>
              <w:spacing w:after="20"/>
              <w:jc w:val="right"/>
            </w:pPr>
            <w:r>
              <w:rPr>
                <w:rFonts w:ascii="Calibri" w:hAnsi="Calibri"/>
                <w:b w:val="0"/>
                <w:i w:val="0"/>
                <w:color w:val="2B2F38"/>
                <w:sz w:val="19"/>
              </w:rPr>
              <w:t>$0.09M</w:t>
            </w:r>
          </w:p>
        </w:tc>
        <w:tc>
          <w:tcPr>
            <w:tcW w:type="dxa" w:w="1711"/>
            <w:shd w:val="clear" w:color="auto" w:fill="FFFFFF"/>
          </w:tcPr>
          <w:p>
            <w:pPr>
              <w:spacing w:after="20"/>
              <w:jc w:val="right"/>
            </w:pPr>
            <w:r>
              <w:rPr>
                <w:rFonts w:ascii="Calibri" w:hAnsi="Calibri"/>
                <w:b w:val="0"/>
                <w:i w:val="0"/>
                <w:color w:val="2B2F38"/>
                <w:sz w:val="19"/>
              </w:rPr>
              <w:t>0.83</w:t>
            </w:r>
          </w:p>
        </w:tc>
      </w:tr>
      <w:tr>
        <w:tc>
          <w:tcPr>
            <w:tcW w:type="dxa" w:w="3231"/>
            <w:shd w:val="clear" w:color="auto" w:fill="F5F7F9"/>
          </w:tcPr>
          <w:p>
            <w:pPr>
              <w:spacing w:after="20"/>
            </w:pPr>
            <w:r>
              <w:rPr>
                <w:rFonts w:ascii="Calibri" w:hAnsi="Calibri"/>
                <w:b w:val="0"/>
                <w:i w:val="0"/>
                <w:color w:val="2B2F38"/>
                <w:sz w:val="19"/>
              </w:rPr>
              <w:t>RootDay</w:t>
            </w:r>
          </w:p>
        </w:tc>
        <w:tc>
          <w:tcPr>
            <w:tcW w:type="dxa" w:w="2091"/>
            <w:shd w:val="clear" w:color="auto" w:fill="F5F7F9"/>
          </w:tcPr>
          <w:p>
            <w:pPr>
              <w:spacing w:after="20"/>
              <w:jc w:val="right"/>
            </w:pPr>
            <w:r>
              <w:rPr>
                <w:rFonts w:ascii="Calibri" w:hAnsi="Calibri"/>
                <w:b w:val="0"/>
                <w:i w:val="0"/>
                <w:color w:val="2B2F38"/>
                <w:sz w:val="19"/>
              </w:rPr>
              <w:t>$0.04M</w:t>
            </w:r>
          </w:p>
        </w:tc>
        <w:tc>
          <w:tcPr>
            <w:tcW w:type="dxa" w:w="2471"/>
            <w:shd w:val="clear" w:color="auto" w:fill="F5F7F9"/>
          </w:tcPr>
          <w:p>
            <w:pPr>
              <w:spacing w:after="20"/>
              <w:jc w:val="right"/>
            </w:pPr>
            <w:r>
              <w:rPr>
                <w:rFonts w:ascii="Calibri" w:hAnsi="Calibri"/>
                <w:b w:val="0"/>
                <w:i w:val="0"/>
                <w:color w:val="2B2F38"/>
                <w:sz w:val="19"/>
              </w:rPr>
              <w:t>$0.01M</w:t>
            </w:r>
          </w:p>
        </w:tc>
        <w:tc>
          <w:tcPr>
            <w:tcW w:type="dxa" w:w="1711"/>
            <w:shd w:val="clear" w:color="auto" w:fill="F5F7F9"/>
          </w:tcPr>
          <w:p>
            <w:pPr>
              <w:spacing w:after="20"/>
              <w:jc w:val="right"/>
            </w:pPr>
            <w:r>
              <w:rPr>
                <w:rFonts w:ascii="Calibri" w:hAnsi="Calibri"/>
                <w:b w:val="0"/>
                <w:i w:val="0"/>
                <w:color w:val="2B2F38"/>
                <w:sz w:val="19"/>
              </w:rPr>
              <w:t>0.35</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seed_retail_media_spend_q1_2026, grouped by brand.</w:t>
      </w:r>
    </w:p>
    <w:p>
      <w:pPr>
        <w:keepNext/>
        <w:spacing w:after="40" w:before="240" w:line="274" w:lineRule="auto"/>
      </w:pPr>
      <w:r>
        <w:rPr>
          <w:rFonts w:ascii="Calibri" w:hAnsi="Calibri"/>
          <w:b/>
          <w:i w:val="0"/>
          <w:color w:val="2E7D75"/>
          <w:sz w:val="18"/>
        </w:rPr>
        <w:t>MIX</w:t>
      </w:r>
    </w:p>
    <w:p>
      <w:pPr>
        <w:keepNext/>
        <w:spacing w:after="100" w:before="0" w:line="274" w:lineRule="auto"/>
      </w:pPr>
      <w:r>
        <w:rPr>
          <w:rFonts w:ascii="Calibri" w:hAnsi="Calibri"/>
          <w:b/>
          <w:i w:val="0"/>
          <w:color w:val="1F2A44"/>
          <w:sz w:val="31"/>
        </w:rPr>
        <w:t>4 · Two brands, two philosophies</w:t>
      </w:r>
    </w:p>
    <w:p>
      <w:pPr>
        <w:spacing w:before="80" w:after="40"/>
      </w:pPr>
      <w:r>
        <w:drawing>
          <wp:inline xmlns:a="http://schemas.openxmlformats.org/drawingml/2006/main" xmlns:pic="http://schemas.openxmlformats.org/drawingml/2006/picture">
            <wp:extent cx="6035040" cy="4297680"/>
            <wp:docPr id="2" name="Picture 2"/>
            <wp:cNvGraphicFramePr>
              <a:graphicFrameLocks noChangeAspect="1"/>
            </wp:cNvGraphicFramePr>
            <a:graphic>
              <a:graphicData uri="http://schemas.openxmlformats.org/drawingml/2006/picture">
                <pic:pic>
                  <pic:nvPicPr>
                    <pic:cNvPr id="0" name="r74_cw.png"/>
                    <pic:cNvPicPr/>
                  </pic:nvPicPr>
                  <pic:blipFill>
                    <a:blip r:embed="rId11"/>
                    <a:stretch>
                      <a:fillRect/>
                    </a:stretch>
                  </pic:blipFill>
                  <pic:spPr>
                    <a:xfrm>
                      <a:off x="0" y="0"/>
                      <a:ext cx="6035040" cy="4297680"/>
                    </a:xfrm>
                    <a:prstGeom prst="rect"/>
                  </pic:spPr>
                </pic:pic>
              </a:graphicData>
            </a:graphic>
          </wp:inline>
        </w:drawing>
      </w:r>
    </w:p>
    <w:p>
      <w:pPr>
        <w:keepNext w:val="0"/>
        <w:spacing w:after="160" w:before="0" w:line="274" w:lineRule="auto"/>
      </w:pPr>
      <w:r>
        <w:rPr>
          <w:rFonts w:ascii="Calibri" w:hAnsi="Calibri"/>
          <w:b w:val="0"/>
          <w:i/>
          <w:color w:val="5B6472"/>
          <w:sz w:val="17"/>
        </w:rPr>
        <w:t>Crunchwell: $48.7M, linear-TV-led.</w:t>
      </w:r>
    </w:p>
    <w:p>
      <w:pPr>
        <w:spacing w:before="80" w:after="40"/>
      </w:pPr>
      <w:r>
        <w:drawing>
          <wp:inline xmlns:a="http://schemas.openxmlformats.org/drawingml/2006/main" xmlns:pic="http://schemas.openxmlformats.org/drawingml/2006/picture">
            <wp:extent cx="6035040" cy="4291179"/>
            <wp:docPr id="3" name="Picture 3"/>
            <wp:cNvGraphicFramePr>
              <a:graphicFrameLocks noChangeAspect="1"/>
            </wp:cNvGraphicFramePr>
            <a:graphic>
              <a:graphicData uri="http://schemas.openxmlformats.org/drawingml/2006/picture">
                <pic:pic>
                  <pic:nvPicPr>
                    <pic:cNvPr id="0" name="r74_pp.png"/>
                    <pic:cNvPicPr/>
                  </pic:nvPicPr>
                  <pic:blipFill>
                    <a:blip r:embed="rId12"/>
                    <a:stretch>
                      <a:fillRect/>
                    </a:stretch>
                  </pic:blipFill>
                  <pic:spPr>
                    <a:xfrm>
                      <a:off x="0" y="0"/>
                      <a:ext cx="6035040" cy="4291179"/>
                    </a:xfrm>
                    <a:prstGeom prst="rect"/>
                  </pic:spPr>
                </pic:pic>
              </a:graphicData>
            </a:graphic>
          </wp:inline>
        </w:drawing>
      </w:r>
    </w:p>
    <w:p>
      <w:pPr>
        <w:keepNext w:val="0"/>
        <w:spacing w:after="160" w:before="0" w:line="274" w:lineRule="auto"/>
      </w:pPr>
      <w:r>
        <w:rPr>
          <w:rFonts w:ascii="Calibri" w:hAnsi="Calibri"/>
          <w:b w:val="0"/>
          <w:i/>
          <w:color w:val="5B6472"/>
          <w:sz w:val="17"/>
        </w:rPr>
        <w:t>ProteinPeak: $22.2M, paid-social and creator-led.</w:t>
      </w:r>
    </w:p>
    <w:p>
      <w:pPr>
        <w:keepNext w:val="0"/>
        <w:spacing w:after="120" w:before="0" w:line="274" w:lineRule="auto"/>
      </w:pPr>
      <w:r>
        <w:rPr>
          <w:rFonts w:ascii="Calibri" w:hAnsi="Calibri"/>
          <w:b w:val="0"/>
          <w:i w:val="0"/>
          <w:color w:val="2B2F38"/>
          <w:sz w:val="21"/>
        </w:rPr>
        <w:t>The brand growing fastest runs the mix weighted to creator, paid social and retail media. The brand that has been flat for six quarters runs the mix weighted to linear television. That is not proof of causation, but combined with the sentiment gap (+0.44 versus −0.11) it is enough to justify moving a third of Crunchwell's TV line into CTV, creator and retail media in FY2027.</w:t>
      </w:r>
    </w:p>
    <w:p>
      <w:pPr>
        <w:keepNext/>
        <w:spacing w:after="40" w:before="240" w:line="274" w:lineRule="auto"/>
      </w:pPr>
      <w:r>
        <w:rPr>
          <w:rFonts w:ascii="Calibri" w:hAnsi="Calibri"/>
          <w:b/>
          <w:i w:val="0"/>
          <w:color w:val="2E7D75"/>
          <w:sz w:val="18"/>
        </w:rPr>
        <w:t>THE MOVE</w:t>
      </w:r>
    </w:p>
    <w:p>
      <w:pPr>
        <w:keepNext/>
        <w:spacing w:after="100" w:before="0" w:line="274" w:lineRule="auto"/>
      </w:pPr>
      <w:r>
        <w:rPr>
          <w:rFonts w:ascii="Calibri" w:hAnsi="Calibri"/>
          <w:b/>
          <w:i w:val="0"/>
          <w:color w:val="1F2A44"/>
          <w:sz w:val="31"/>
        </w:rPr>
        <w:t>5 · The H2 reallocation, platform by platform</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471"/>
        <w:gridCol w:w="1331"/>
        <w:gridCol w:w="1521"/>
        <w:gridCol w:w="4182"/>
      </w:tblGrid>
      <w:tr>
        <w:tc>
          <w:tcPr>
            <w:tcW w:type="dxa" w:w="2471"/>
            <w:shd w:val="clear" w:color="auto" w:fill="1F2A44"/>
          </w:tcPr>
          <w:p>
            <w:pPr>
              <w:spacing w:after="20"/>
            </w:pPr>
            <w:r>
              <w:rPr>
                <w:rFonts w:ascii="Calibri" w:hAnsi="Calibri"/>
                <w:b/>
                <w:i w:val="0"/>
                <w:color w:val="FFFFFF"/>
                <w:sz w:val="17"/>
              </w:rPr>
              <w:t>Platform</w:t>
            </w:r>
          </w:p>
        </w:tc>
        <w:tc>
          <w:tcPr>
            <w:tcW w:type="dxa" w:w="1331"/>
            <w:shd w:val="clear" w:color="auto" w:fill="1F2A44"/>
          </w:tcPr>
          <w:p>
            <w:pPr>
              <w:spacing w:after="20"/>
            </w:pPr>
            <w:r>
              <w:rPr>
                <w:rFonts w:ascii="Calibri" w:hAnsi="Calibri"/>
                <w:b/>
                <w:i w:val="0"/>
                <w:color w:val="FFFFFF"/>
                <w:sz w:val="17"/>
              </w:rPr>
              <w:t>Q1 spend</w:t>
            </w:r>
          </w:p>
        </w:tc>
        <w:tc>
          <w:tcPr>
            <w:tcW w:type="dxa" w:w="1521"/>
            <w:shd w:val="clear" w:color="auto" w:fill="1F2A44"/>
          </w:tcPr>
          <w:p>
            <w:pPr>
              <w:spacing w:after="20"/>
            </w:pPr>
            <w:r>
              <w:rPr>
                <w:rFonts w:ascii="Calibri" w:hAnsi="Calibri"/>
                <w:b/>
                <w:i w:val="0"/>
                <w:color w:val="FFFFFF"/>
                <w:sz w:val="17"/>
              </w:rPr>
              <w:t>H2 change</w:t>
            </w:r>
          </w:p>
        </w:tc>
        <w:tc>
          <w:tcPr>
            <w:tcW w:type="dxa" w:w="4182"/>
            <w:shd w:val="clear" w:color="auto" w:fill="1F2A44"/>
          </w:tcPr>
          <w:p>
            <w:pPr>
              <w:spacing w:after="20"/>
            </w:pPr>
            <w:r>
              <w:rPr>
                <w:rFonts w:ascii="Calibri" w:hAnsi="Calibri"/>
                <w:b/>
                <w:i w:val="0"/>
                <w:color w:val="FFFFFF"/>
                <w:sz w:val="17"/>
              </w:rPr>
              <w:t>Rationale</w:t>
            </w:r>
          </w:p>
        </w:tc>
      </w:tr>
      <w:tr>
        <w:tc>
          <w:tcPr>
            <w:tcW w:type="dxa" w:w="2471"/>
            <w:shd w:val="clear" w:color="auto" w:fill="FFFFFF"/>
          </w:tcPr>
          <w:p>
            <w:pPr>
              <w:spacing w:after="20"/>
            </w:pPr>
            <w:r>
              <w:rPr>
                <w:rFonts w:ascii="Calibri" w:hAnsi="Calibri"/>
                <w:b w:val="0"/>
                <w:i w:val="0"/>
                <w:color w:val="2B2F38"/>
                <w:sz w:val="18"/>
              </w:rPr>
              <w:t>Amazon Ads</w:t>
            </w:r>
          </w:p>
        </w:tc>
        <w:tc>
          <w:tcPr>
            <w:tcW w:type="dxa" w:w="1331"/>
            <w:shd w:val="clear" w:color="auto" w:fill="FFFFFF"/>
          </w:tcPr>
          <w:p>
            <w:pPr>
              <w:spacing w:after="20"/>
            </w:pPr>
            <w:r>
              <w:rPr>
                <w:rFonts w:ascii="Calibri" w:hAnsi="Calibri"/>
                <w:b w:val="0"/>
                <w:i w:val="0"/>
                <w:color w:val="2B2F38"/>
                <w:sz w:val="18"/>
              </w:rPr>
              <w:t>$2.4M</w:t>
            </w:r>
          </w:p>
        </w:tc>
        <w:tc>
          <w:tcPr>
            <w:tcW w:type="dxa" w:w="1521"/>
            <w:shd w:val="clear" w:color="auto" w:fill="FFFFFF"/>
          </w:tcPr>
          <w:p>
            <w:pPr>
              <w:spacing w:after="20"/>
            </w:pPr>
            <w:r>
              <w:rPr>
                <w:rFonts w:ascii="Calibri" w:hAnsi="Calibri"/>
                <w:b w:val="0"/>
                <w:i w:val="0"/>
                <w:color w:val="2B2F38"/>
                <w:sz w:val="18"/>
              </w:rPr>
              <w:t>−$700K</w:t>
            </w:r>
          </w:p>
        </w:tc>
        <w:tc>
          <w:tcPr>
            <w:tcW w:type="dxa" w:w="4182"/>
            <w:shd w:val="clear" w:color="auto" w:fill="FFFFFF"/>
          </w:tcPr>
          <w:p>
            <w:pPr>
              <w:spacing w:after="20"/>
            </w:pPr>
            <w:r>
              <w:rPr>
                <w:rFonts w:ascii="Calibri" w:hAnsi="Calibri"/>
                <w:b w:val="0"/>
                <w:i w:val="0"/>
                <w:color w:val="2B2F38"/>
                <w:sz w:val="18"/>
              </w:rPr>
              <w:t>Modelled ratio 0.40; the largest leak in the plan</w:t>
            </w:r>
          </w:p>
        </w:tc>
      </w:tr>
      <w:tr>
        <w:tc>
          <w:tcPr>
            <w:tcW w:type="dxa" w:w="2471"/>
            <w:shd w:val="clear" w:color="auto" w:fill="F5F7F9"/>
          </w:tcPr>
          <w:p>
            <w:pPr>
              <w:spacing w:after="20"/>
            </w:pPr>
            <w:r>
              <w:rPr>
                <w:rFonts w:ascii="Calibri" w:hAnsi="Calibri"/>
                <w:b w:val="0"/>
                <w:i w:val="0"/>
                <w:color w:val="2B2F38"/>
                <w:sz w:val="18"/>
              </w:rPr>
              <w:t>Walmart Connect</w:t>
            </w:r>
          </w:p>
        </w:tc>
        <w:tc>
          <w:tcPr>
            <w:tcW w:type="dxa" w:w="1331"/>
            <w:shd w:val="clear" w:color="auto" w:fill="F5F7F9"/>
          </w:tcPr>
          <w:p>
            <w:pPr>
              <w:spacing w:after="20"/>
            </w:pPr>
            <w:r>
              <w:rPr>
                <w:rFonts w:ascii="Calibri" w:hAnsi="Calibri"/>
                <w:b w:val="0"/>
                <w:i w:val="0"/>
                <w:color w:val="2B2F38"/>
                <w:sz w:val="18"/>
              </w:rPr>
              <w:t>$1.0M</w:t>
            </w:r>
          </w:p>
        </w:tc>
        <w:tc>
          <w:tcPr>
            <w:tcW w:type="dxa" w:w="1521"/>
            <w:shd w:val="clear" w:color="auto" w:fill="F5F7F9"/>
          </w:tcPr>
          <w:p>
            <w:pPr>
              <w:spacing w:after="20"/>
            </w:pPr>
            <w:r>
              <w:rPr>
                <w:rFonts w:ascii="Calibri" w:hAnsi="Calibri"/>
                <w:b w:val="0"/>
                <w:i w:val="0"/>
                <w:color w:val="2B2F38"/>
                <w:sz w:val="18"/>
              </w:rPr>
              <w:t>+$350K</w:t>
            </w:r>
          </w:p>
        </w:tc>
        <w:tc>
          <w:tcPr>
            <w:tcW w:type="dxa" w:w="4182"/>
            <w:shd w:val="clear" w:color="auto" w:fill="F5F7F9"/>
          </w:tcPr>
          <w:p>
            <w:pPr>
              <w:spacing w:after="20"/>
            </w:pPr>
            <w:r>
              <w:rPr>
                <w:rFonts w:ascii="Calibri" w:hAnsi="Calibri"/>
                <w:b w:val="0"/>
                <w:i w:val="0"/>
                <w:color w:val="2B2F38"/>
                <w:sz w:val="18"/>
              </w:rPr>
              <w:t>Modelled ratio 1.20; the only platform above 1.0</w:t>
            </w:r>
          </w:p>
        </w:tc>
      </w:tr>
      <w:tr>
        <w:tc>
          <w:tcPr>
            <w:tcW w:type="dxa" w:w="2471"/>
            <w:shd w:val="clear" w:color="auto" w:fill="FFFFFF"/>
          </w:tcPr>
          <w:p>
            <w:pPr>
              <w:spacing w:after="20"/>
            </w:pPr>
            <w:r>
              <w:rPr>
                <w:rFonts w:ascii="Calibri" w:hAnsi="Calibri"/>
                <w:b w:val="0"/>
                <w:i w:val="0"/>
                <w:color w:val="2B2F38"/>
                <w:sz w:val="18"/>
              </w:rPr>
              <w:t>Kroger Precision Marketing</w:t>
            </w:r>
          </w:p>
        </w:tc>
        <w:tc>
          <w:tcPr>
            <w:tcW w:type="dxa" w:w="1331"/>
            <w:shd w:val="clear" w:color="auto" w:fill="FFFFFF"/>
          </w:tcPr>
          <w:p>
            <w:pPr>
              <w:spacing w:after="20"/>
            </w:pPr>
            <w:r>
              <w:rPr>
                <w:rFonts w:ascii="Calibri" w:hAnsi="Calibri"/>
                <w:b w:val="0"/>
                <w:i w:val="0"/>
                <w:color w:val="2B2F38"/>
                <w:sz w:val="18"/>
              </w:rPr>
              <w:t>$0.4M</w:t>
            </w:r>
          </w:p>
        </w:tc>
        <w:tc>
          <w:tcPr>
            <w:tcW w:type="dxa" w:w="1521"/>
            <w:shd w:val="clear" w:color="auto" w:fill="FFFFFF"/>
          </w:tcPr>
          <w:p>
            <w:pPr>
              <w:spacing w:after="20"/>
            </w:pPr>
            <w:r>
              <w:rPr>
                <w:rFonts w:ascii="Calibri" w:hAnsi="Calibri"/>
                <w:b w:val="0"/>
                <w:i w:val="0"/>
                <w:color w:val="2B2F38"/>
                <w:sz w:val="18"/>
              </w:rPr>
              <w:t>+$200K</w:t>
            </w:r>
          </w:p>
        </w:tc>
        <w:tc>
          <w:tcPr>
            <w:tcW w:type="dxa" w:w="4182"/>
            <w:shd w:val="clear" w:color="auto" w:fill="FFFFFF"/>
          </w:tcPr>
          <w:p>
            <w:pPr>
              <w:spacing w:after="20"/>
            </w:pPr>
            <w:r>
              <w:rPr>
                <w:rFonts w:ascii="Calibri" w:hAnsi="Calibri"/>
                <w:b w:val="0"/>
                <w:i w:val="0"/>
                <w:color w:val="2B2F38"/>
                <w:sz w:val="18"/>
              </w:rPr>
              <w:t>Ratio 0.77 and improving; strong grocery overlap</w:t>
            </w:r>
          </w:p>
        </w:tc>
      </w:tr>
      <w:tr>
        <w:tc>
          <w:tcPr>
            <w:tcW w:type="dxa" w:w="2471"/>
            <w:shd w:val="clear" w:color="auto" w:fill="F5F7F9"/>
          </w:tcPr>
          <w:p>
            <w:pPr>
              <w:spacing w:after="20"/>
            </w:pPr>
            <w:r>
              <w:rPr>
                <w:rFonts w:ascii="Calibri" w:hAnsi="Calibri"/>
                <w:b w:val="0"/>
                <w:i w:val="0"/>
                <w:color w:val="2B2F38"/>
                <w:sz w:val="18"/>
              </w:rPr>
              <w:t>Louisiana injection (cross-platform)</w:t>
            </w:r>
          </w:p>
        </w:tc>
        <w:tc>
          <w:tcPr>
            <w:tcW w:type="dxa" w:w="1331"/>
            <w:shd w:val="clear" w:color="auto" w:fill="F5F7F9"/>
          </w:tcPr>
          <w:p>
            <w:pPr>
              <w:spacing w:after="20"/>
            </w:pPr>
            <w:r>
              <w:rPr>
                <w:rFonts w:ascii="Calibri" w:hAnsi="Calibri"/>
                <w:b w:val="0"/>
                <w:i w:val="0"/>
                <w:color w:val="2B2F38"/>
                <w:sz w:val="18"/>
              </w:rPr>
              <w:t>—</w:t>
            </w:r>
          </w:p>
        </w:tc>
        <w:tc>
          <w:tcPr>
            <w:tcW w:type="dxa" w:w="1521"/>
            <w:shd w:val="clear" w:color="auto" w:fill="F5F7F9"/>
          </w:tcPr>
          <w:p>
            <w:pPr>
              <w:spacing w:after="20"/>
            </w:pPr>
            <w:r>
              <w:rPr>
                <w:rFonts w:ascii="Calibri" w:hAnsi="Calibri"/>
                <w:b w:val="0"/>
                <w:i w:val="0"/>
                <w:color w:val="2B2F38"/>
                <w:sz w:val="18"/>
              </w:rPr>
              <w:t>+$150K</w:t>
            </w:r>
          </w:p>
        </w:tc>
        <w:tc>
          <w:tcPr>
            <w:tcW w:type="dxa" w:w="4182"/>
            <w:shd w:val="clear" w:color="auto" w:fill="F5F7F9"/>
          </w:tcPr>
          <w:p>
            <w:pPr>
              <w:spacing w:after="20"/>
            </w:pPr>
            <w:r>
              <w:rPr>
                <w:rFonts w:ascii="Calibri" w:hAnsi="Calibri"/>
                <w:b w:val="0"/>
                <w:i w:val="0"/>
                <w:color w:val="2B2F38"/>
                <w:sz w:val="18"/>
              </w:rPr>
              <w:t>2.2x portfolio ROI on the recovery leg</w:t>
            </w:r>
          </w:p>
        </w:tc>
      </w:tr>
      <w:tr>
        <w:tc>
          <w:tcPr>
            <w:tcW w:type="dxa" w:w="2471"/>
            <w:shd w:val="clear" w:color="auto" w:fill="EAEEF2"/>
          </w:tcPr>
          <w:p>
            <w:pPr>
              <w:spacing w:after="20"/>
            </w:pPr>
            <w:r>
              <w:rPr>
                <w:rFonts w:ascii="Calibri" w:hAnsi="Calibri"/>
                <w:b/>
                <w:i w:val="0"/>
                <w:color w:val="2B2F38"/>
                <w:sz w:val="18"/>
              </w:rPr>
              <w:t>Net</w:t>
            </w:r>
          </w:p>
        </w:tc>
        <w:tc>
          <w:tcPr>
            <w:tcW w:type="dxa" w:w="1331"/>
            <w:shd w:val="clear" w:color="auto" w:fill="EAEEF2"/>
          </w:tcPr>
          <w:p>
            <w:pPr>
              <w:spacing w:after="20"/>
            </w:pPr>
            <w:r>
              <w:rPr>
                <w:rFonts w:ascii="Calibri" w:hAnsi="Calibri"/>
                <w:b/>
                <w:i w:val="0"/>
                <w:color w:val="2B2F38"/>
                <w:sz w:val="18"/>
              </w:rPr>
              <w:t>$4.2M</w:t>
            </w:r>
          </w:p>
        </w:tc>
        <w:tc>
          <w:tcPr>
            <w:tcW w:type="dxa" w:w="1521"/>
            <w:shd w:val="clear" w:color="auto" w:fill="EAEEF2"/>
          </w:tcPr>
          <w:p>
            <w:pPr>
              <w:spacing w:after="20"/>
            </w:pPr>
            <w:r>
              <w:rPr>
                <w:rFonts w:ascii="Calibri" w:hAnsi="Calibri"/>
                <w:b/>
                <w:i w:val="0"/>
                <w:color w:val="2B2F38"/>
                <w:sz w:val="18"/>
              </w:rPr>
              <w:t>$0</w:t>
            </w:r>
          </w:p>
        </w:tc>
        <w:tc>
          <w:tcPr>
            <w:tcW w:type="dxa" w:w="4182"/>
            <w:shd w:val="clear" w:color="auto" w:fill="EAEEF2"/>
          </w:tcPr>
          <w:p>
            <w:pPr>
              <w:spacing w:after="20"/>
            </w:pPr>
            <w:r>
              <w:rPr>
                <w:rFonts w:ascii="Calibri" w:hAnsi="Calibri"/>
                <w:b/>
                <w:i w:val="0"/>
                <w:color w:val="2B2F38"/>
                <w:sz w:val="18"/>
              </w:rPr>
              <w:t>Reallocation, not incremental budget</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H2 figures are the recommended plan; Q1 spend from seed_retail_media_spend_q1_2026.</w:t>
      </w:r>
    </w:p>
    <w:p>
      <w:pPr>
        <w:keepNext/>
        <w:spacing w:after="40" w:before="240" w:line="274" w:lineRule="auto"/>
      </w:pPr>
      <w:r>
        <w:rPr>
          <w:rFonts w:ascii="Calibri" w:hAnsi="Calibri"/>
          <w:b/>
          <w:i w:val="0"/>
          <w:color w:val="2E7D75"/>
          <w:sz w:val="18"/>
        </w:rPr>
        <w:t>PHASING</w:t>
      </w:r>
    </w:p>
    <w:p>
      <w:pPr>
        <w:keepNext/>
        <w:spacing w:after="100" w:before="0" w:line="274" w:lineRule="auto"/>
      </w:pPr>
      <w:r>
        <w:rPr>
          <w:rFonts w:ascii="Calibri" w:hAnsi="Calibri"/>
          <w:b/>
          <w:i w:val="0"/>
          <w:color w:val="1F2A44"/>
          <w:sz w:val="31"/>
        </w:rPr>
        <w:t>6 · A secondary finding worth acting on</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5702"/>
        <w:gridCol w:w="3802"/>
      </w:tblGrid>
      <w:tr>
        <w:tc>
          <w:tcPr>
            <w:tcW w:type="dxa" w:w="5702"/>
            <w:shd w:val="clear" w:color="auto" w:fill="1F2A44"/>
          </w:tcPr>
          <w:p>
            <w:pPr>
              <w:spacing w:after="20"/>
            </w:pPr>
            <w:r>
              <w:rPr>
                <w:rFonts w:ascii="Calibri" w:hAnsi="Calibri"/>
                <w:b/>
                <w:i w:val="0"/>
                <w:color w:val="FFFFFF"/>
                <w:sz w:val="18"/>
              </w:rPr>
              <w:t>Period</w:t>
            </w:r>
          </w:p>
        </w:tc>
        <w:tc>
          <w:tcPr>
            <w:tcW w:type="dxa" w:w="3802"/>
            <w:shd w:val="clear" w:color="auto" w:fill="1F2A44"/>
          </w:tcPr>
          <w:p>
            <w:pPr>
              <w:spacing w:after="20"/>
              <w:jc w:val="right"/>
            </w:pPr>
            <w:r>
              <w:rPr>
                <w:rFonts w:ascii="Calibri" w:hAnsi="Calibri"/>
                <w:b/>
                <w:i w:val="0"/>
                <w:color w:val="FFFFFF"/>
                <w:sz w:val="18"/>
              </w:rPr>
              <w:t>A&amp;P spend</w:t>
            </w:r>
          </w:p>
        </w:tc>
      </w:tr>
      <w:tr>
        <w:tc>
          <w:tcPr>
            <w:tcW w:type="dxa" w:w="5702"/>
            <w:shd w:val="clear" w:color="auto" w:fill="FFFFFF"/>
          </w:tcPr>
          <w:p>
            <w:pPr>
              <w:spacing w:after="20"/>
            </w:pPr>
            <w:r>
              <w:rPr>
                <w:rFonts w:ascii="Calibri" w:hAnsi="Calibri"/>
                <w:b w:val="0"/>
                <w:i w:val="0"/>
                <w:color w:val="2B2F38"/>
                <w:sz w:val="19"/>
              </w:rPr>
              <w:t>2025-Q1</w:t>
            </w:r>
          </w:p>
        </w:tc>
        <w:tc>
          <w:tcPr>
            <w:tcW w:type="dxa" w:w="3802"/>
            <w:shd w:val="clear" w:color="auto" w:fill="FFFFFF"/>
          </w:tcPr>
          <w:p>
            <w:pPr>
              <w:spacing w:after="20"/>
              <w:jc w:val="right"/>
            </w:pPr>
            <w:r>
              <w:rPr>
                <w:rFonts w:ascii="Calibri" w:hAnsi="Calibri"/>
                <w:b w:val="0"/>
                <w:i w:val="0"/>
                <w:color w:val="2B2F38"/>
                <w:sz w:val="19"/>
              </w:rPr>
              <w:t>$24.5M</w:t>
            </w:r>
          </w:p>
        </w:tc>
      </w:tr>
      <w:tr>
        <w:tc>
          <w:tcPr>
            <w:tcW w:type="dxa" w:w="5702"/>
            <w:shd w:val="clear" w:color="auto" w:fill="F5F7F9"/>
          </w:tcPr>
          <w:p>
            <w:pPr>
              <w:spacing w:after="20"/>
            </w:pPr>
            <w:r>
              <w:rPr>
                <w:rFonts w:ascii="Calibri" w:hAnsi="Calibri"/>
                <w:b w:val="0"/>
                <w:i w:val="0"/>
                <w:color w:val="2B2F38"/>
                <w:sz w:val="19"/>
              </w:rPr>
              <w:t>2025-Q2</w:t>
            </w:r>
          </w:p>
        </w:tc>
        <w:tc>
          <w:tcPr>
            <w:tcW w:type="dxa" w:w="3802"/>
            <w:shd w:val="clear" w:color="auto" w:fill="F5F7F9"/>
          </w:tcPr>
          <w:p>
            <w:pPr>
              <w:spacing w:after="20"/>
              <w:jc w:val="right"/>
            </w:pPr>
            <w:r>
              <w:rPr>
                <w:rFonts w:ascii="Calibri" w:hAnsi="Calibri"/>
                <w:b w:val="0"/>
                <w:i w:val="0"/>
                <w:color w:val="2B2F38"/>
                <w:sz w:val="19"/>
              </w:rPr>
              <w:t>$11.9M</w:t>
            </w:r>
          </w:p>
        </w:tc>
      </w:tr>
      <w:tr>
        <w:tc>
          <w:tcPr>
            <w:tcW w:type="dxa" w:w="5702"/>
            <w:shd w:val="clear" w:color="auto" w:fill="FFFFFF"/>
          </w:tcPr>
          <w:p>
            <w:pPr>
              <w:spacing w:after="20"/>
            </w:pPr>
            <w:r>
              <w:rPr>
                <w:rFonts w:ascii="Calibri" w:hAnsi="Calibri"/>
                <w:b w:val="0"/>
                <w:i w:val="0"/>
                <w:color w:val="2B2F38"/>
                <w:sz w:val="19"/>
              </w:rPr>
              <w:t>2025-Q3</w:t>
            </w:r>
          </w:p>
        </w:tc>
        <w:tc>
          <w:tcPr>
            <w:tcW w:type="dxa" w:w="3802"/>
            <w:shd w:val="clear" w:color="auto" w:fill="FFFFFF"/>
          </w:tcPr>
          <w:p>
            <w:pPr>
              <w:spacing w:after="20"/>
              <w:jc w:val="right"/>
            </w:pPr>
            <w:r>
              <w:rPr>
                <w:rFonts w:ascii="Calibri" w:hAnsi="Calibri"/>
                <w:b w:val="0"/>
                <w:i w:val="0"/>
                <w:color w:val="2B2F38"/>
                <w:sz w:val="19"/>
              </w:rPr>
              <w:t>$10.2M</w:t>
            </w:r>
          </w:p>
        </w:tc>
      </w:tr>
      <w:tr>
        <w:tc>
          <w:tcPr>
            <w:tcW w:type="dxa" w:w="5702"/>
            <w:shd w:val="clear" w:color="auto" w:fill="F5F7F9"/>
          </w:tcPr>
          <w:p>
            <w:pPr>
              <w:spacing w:after="20"/>
            </w:pPr>
            <w:r>
              <w:rPr>
                <w:rFonts w:ascii="Calibri" w:hAnsi="Calibri"/>
                <w:b w:val="0"/>
                <w:i w:val="0"/>
                <w:color w:val="2B2F38"/>
                <w:sz w:val="19"/>
              </w:rPr>
              <w:t>2025-Q4</w:t>
            </w:r>
          </w:p>
        </w:tc>
        <w:tc>
          <w:tcPr>
            <w:tcW w:type="dxa" w:w="3802"/>
            <w:shd w:val="clear" w:color="auto" w:fill="F5F7F9"/>
          </w:tcPr>
          <w:p>
            <w:pPr>
              <w:spacing w:after="20"/>
              <w:jc w:val="right"/>
            </w:pPr>
            <w:r>
              <w:rPr>
                <w:rFonts w:ascii="Calibri" w:hAnsi="Calibri"/>
                <w:b w:val="0"/>
                <w:i w:val="0"/>
                <w:color w:val="2B2F38"/>
                <w:sz w:val="19"/>
              </w:rPr>
              <w:t>$5.9M</w:t>
            </w:r>
          </w:p>
        </w:tc>
      </w:tr>
      <w:tr>
        <w:tc>
          <w:tcPr>
            <w:tcW w:type="dxa" w:w="5702"/>
            <w:shd w:val="clear" w:color="auto" w:fill="FFFFFF"/>
          </w:tcPr>
          <w:p>
            <w:pPr>
              <w:spacing w:after="20"/>
            </w:pPr>
            <w:r>
              <w:rPr>
                <w:rFonts w:ascii="Calibri" w:hAnsi="Calibri"/>
                <w:b w:val="0"/>
                <w:i w:val="0"/>
                <w:color w:val="2B2F38"/>
                <w:sz w:val="19"/>
              </w:rPr>
              <w:t>2026-Q1</w:t>
            </w:r>
          </w:p>
        </w:tc>
        <w:tc>
          <w:tcPr>
            <w:tcW w:type="dxa" w:w="3802"/>
            <w:shd w:val="clear" w:color="auto" w:fill="FFFFFF"/>
          </w:tcPr>
          <w:p>
            <w:pPr>
              <w:spacing w:after="20"/>
              <w:jc w:val="right"/>
            </w:pPr>
            <w:r>
              <w:rPr>
                <w:rFonts w:ascii="Calibri" w:hAnsi="Calibri"/>
                <w:b w:val="0"/>
                <w:i w:val="0"/>
                <w:color w:val="2B2F38"/>
                <w:sz w:val="19"/>
              </w:rPr>
              <w:t>$10.9M</w:t>
            </w:r>
          </w:p>
        </w:tc>
      </w:tr>
      <w:tr>
        <w:tc>
          <w:tcPr>
            <w:tcW w:type="dxa" w:w="5702"/>
            <w:shd w:val="clear" w:color="auto" w:fill="F5F7F9"/>
          </w:tcPr>
          <w:p>
            <w:pPr>
              <w:spacing w:after="20"/>
            </w:pPr>
            <w:r>
              <w:rPr>
                <w:rFonts w:ascii="Calibri" w:hAnsi="Calibri"/>
                <w:b w:val="0"/>
                <w:i w:val="0"/>
                <w:color w:val="2B2F38"/>
                <w:sz w:val="19"/>
              </w:rPr>
              <w:t>2026-Q2</w:t>
            </w:r>
          </w:p>
        </w:tc>
        <w:tc>
          <w:tcPr>
            <w:tcW w:type="dxa" w:w="3802"/>
            <w:shd w:val="clear" w:color="auto" w:fill="F5F7F9"/>
          </w:tcPr>
          <w:p>
            <w:pPr>
              <w:spacing w:after="20"/>
              <w:jc w:val="right"/>
            </w:pPr>
            <w:r>
              <w:rPr>
                <w:rFonts w:ascii="Calibri" w:hAnsi="Calibri"/>
                <w:b w:val="0"/>
                <w:i w:val="0"/>
                <w:color w:val="2B2F38"/>
                <w:sz w:val="19"/>
              </w:rPr>
              <w:t>$11.7M</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seed_marketing_spend by period.</w:t>
      </w:r>
    </w:p>
    <w:p>
      <w:pPr>
        <w:keepNext w:val="0"/>
        <w:spacing w:after="120" w:before="0" w:line="274" w:lineRule="auto"/>
      </w:pPr>
      <w:r>
        <w:rPr>
          <w:rFonts w:ascii="Calibri" w:hAnsi="Calibri"/>
          <w:b w:val="0"/>
          <w:i w:val="0"/>
          <w:color w:val="2B2F38"/>
          <w:sz w:val="21"/>
        </w:rPr>
        <w:t>Total A&amp;P is lumpy — the quarterly range is wide in a category bought weekly. Smoothing phasing to match purchase behaviour is a free efficiency gain and is recommended for the FY2027 plan.</w:t>
      </w: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Approve the $700K reallocation out of Amazon Ads</w:t>
            </w:r>
          </w:p>
        </w:tc>
        <w:tc>
          <w:tcPr>
            <w:tcW w:type="dxa" w:w="2281"/>
            <w:shd w:val="clear" w:color="auto" w:fill="FFFFFF"/>
          </w:tcPr>
          <w:p>
            <w:pPr>
              <w:spacing w:after="20"/>
            </w:pPr>
            <w:r>
              <w:rPr>
                <w:rFonts w:ascii="Calibri" w:hAnsi="Calibri"/>
                <w:b w:val="0"/>
                <w:i w:val="0"/>
                <w:color w:val="2B2F38"/>
                <w:sz w:val="19"/>
              </w:rPr>
              <w:t>CFO / Tasha Brooks</w:t>
            </w:r>
          </w:p>
        </w:tc>
        <w:tc>
          <w:tcPr>
            <w:tcW w:type="dxa" w:w="1521"/>
            <w:shd w:val="clear" w:color="auto" w:fill="FFFFFF"/>
          </w:tcPr>
          <w:p>
            <w:pPr>
              <w:spacing w:after="20"/>
              <w:jc w:val="right"/>
            </w:pPr>
            <w:r>
              <w:rPr>
                <w:rFonts w:ascii="Calibri" w:hAnsi="Calibri"/>
                <w:b w:val="0"/>
                <w:i w:val="0"/>
                <w:color w:val="2B2F38"/>
                <w:sz w:val="19"/>
              </w:rPr>
              <w:t>By Aug 1</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Adopt modelled incrementality as the single budget-governing metric</w:t>
            </w:r>
          </w:p>
        </w:tc>
        <w:tc>
          <w:tcPr>
            <w:tcW w:type="dxa" w:w="2281"/>
            <w:shd w:val="clear" w:color="auto" w:fill="F5F7F9"/>
          </w:tcPr>
          <w:p>
            <w:pPr>
              <w:spacing w:after="20"/>
            </w:pPr>
            <w:r>
              <w:rPr>
                <w:rFonts w:ascii="Calibri" w:hAnsi="Calibri"/>
                <w:b w:val="0"/>
                <w:i w:val="0"/>
                <w:color w:val="2B2F38"/>
                <w:sz w:val="19"/>
              </w:rPr>
              <w:t>Hugo Lin</w:t>
            </w:r>
          </w:p>
        </w:tc>
        <w:tc>
          <w:tcPr>
            <w:tcW w:type="dxa" w:w="1521"/>
            <w:shd w:val="clear" w:color="auto" w:fill="F5F7F9"/>
          </w:tcPr>
          <w:p>
            <w:pPr>
              <w:spacing w:after="20"/>
              <w:jc w:val="right"/>
            </w:pPr>
            <w:r>
              <w:rPr>
                <w:rFonts w:ascii="Calibri" w:hAnsi="Calibri"/>
                <w:b w:val="0"/>
                <w:i w:val="0"/>
                <w:color w:val="2B2F38"/>
                <w:sz w:val="19"/>
              </w:rPr>
              <w:t>From Aug 1</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Move a third of Crunchwell's linear TV line into CTV, creator and retail media in FY27</w:t>
            </w:r>
          </w:p>
        </w:tc>
        <w:tc>
          <w:tcPr>
            <w:tcW w:type="dxa" w:w="2281"/>
            <w:shd w:val="clear" w:color="auto" w:fill="FFFFFF"/>
          </w:tcPr>
          <w:p>
            <w:pPr>
              <w:spacing w:after="20"/>
            </w:pPr>
            <w:r>
              <w:rPr>
                <w:rFonts w:ascii="Calibri" w:hAnsi="Calibri"/>
                <w:b w:val="0"/>
                <w:i w:val="0"/>
                <w:color w:val="2B2F38"/>
                <w:sz w:val="19"/>
              </w:rPr>
              <w:t>CMO / Cory Whitman</w:t>
            </w:r>
          </w:p>
        </w:tc>
        <w:tc>
          <w:tcPr>
            <w:tcW w:type="dxa" w:w="1521"/>
            <w:shd w:val="clear" w:color="auto" w:fill="FFFFFF"/>
          </w:tcPr>
          <w:p>
            <w:pPr>
              <w:spacing w:after="20"/>
              <w:jc w:val="right"/>
            </w:pPr>
            <w:r>
              <w:rPr>
                <w:rFonts w:ascii="Calibri" w:hAnsi="Calibri"/>
                <w:b w:val="0"/>
                <w:i w:val="0"/>
                <w:color w:val="2B2F38"/>
                <w:sz w:val="19"/>
              </w:rPr>
              <w:t>FY27 planning</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Smooth A&amp;P phasing against weekly purchase behaviour</w:t>
            </w:r>
          </w:p>
        </w:tc>
        <w:tc>
          <w:tcPr>
            <w:tcW w:type="dxa" w:w="2281"/>
            <w:shd w:val="clear" w:color="auto" w:fill="F5F7F9"/>
          </w:tcPr>
          <w:p>
            <w:pPr>
              <w:spacing w:after="20"/>
            </w:pPr>
            <w:r>
              <w:rPr>
                <w:rFonts w:ascii="Calibri" w:hAnsi="Calibri"/>
                <w:b w:val="0"/>
                <w:i w:val="0"/>
                <w:color w:val="2B2F38"/>
                <w:sz w:val="19"/>
              </w:rPr>
              <w:t>Hugo Lin</w:t>
            </w:r>
          </w:p>
        </w:tc>
        <w:tc>
          <w:tcPr>
            <w:tcW w:type="dxa" w:w="1521"/>
            <w:shd w:val="clear" w:color="auto" w:fill="F5F7F9"/>
          </w:tcPr>
          <w:p>
            <w:pPr>
              <w:spacing w:after="20"/>
              <w:jc w:val="right"/>
            </w:pPr>
            <w:r>
              <w:rPr>
                <w:rFonts w:ascii="Calibri" w:hAnsi="Calibri"/>
                <w:b w:val="0"/>
                <w:i w:val="0"/>
                <w:color w:val="2B2F38"/>
                <w:sz w:val="19"/>
              </w:rPr>
              <w:t>FY27 planning</w:t>
            </w:r>
          </w:p>
        </w:tc>
      </w:tr>
      <w:tr>
        <w:tc>
          <w:tcPr>
            <w:tcW w:type="dxa" w:w="475"/>
            <w:shd w:val="clear" w:color="auto" w:fill="FFFFFF"/>
          </w:tcPr>
          <w:p>
            <w:pPr>
              <w:spacing w:after="20"/>
            </w:pPr>
            <w:r>
              <w:rPr>
                <w:rFonts w:ascii="Calibri" w:hAnsi="Calibri"/>
                <w:b w:val="0"/>
                <w:i w:val="0"/>
                <w:color w:val="2B2F38"/>
                <w:sz w:val="19"/>
              </w:rPr>
              <w:t>5</w:t>
            </w:r>
          </w:p>
        </w:tc>
        <w:tc>
          <w:tcPr>
            <w:tcW w:type="dxa" w:w="5227"/>
            <w:shd w:val="clear" w:color="auto" w:fill="FFFFFF"/>
          </w:tcPr>
          <w:p>
            <w:pPr>
              <w:spacing w:after="20"/>
            </w:pPr>
            <w:r>
              <w:rPr>
                <w:rFonts w:ascii="Calibri" w:hAnsi="Calibri"/>
                <w:b w:val="0"/>
                <w:i w:val="0"/>
                <w:color w:val="2B2F38"/>
                <w:sz w:val="19"/>
              </w:rPr>
              <w:t>Re-read incrementality at week 8 and week 13 post-reallocation</w:t>
            </w:r>
          </w:p>
        </w:tc>
        <w:tc>
          <w:tcPr>
            <w:tcW w:type="dxa" w:w="2281"/>
            <w:shd w:val="clear" w:color="auto" w:fill="FFFFFF"/>
          </w:tcPr>
          <w:p>
            <w:pPr>
              <w:spacing w:after="20"/>
            </w:pPr>
            <w:r>
              <w:rPr>
                <w:rFonts w:ascii="Calibri" w:hAnsi="Calibri"/>
                <w:b w:val="0"/>
                <w:i w:val="0"/>
                <w:color w:val="2B2F38"/>
                <w:sz w:val="19"/>
              </w:rPr>
              <w:t>Hugo Lin</w:t>
            </w:r>
          </w:p>
        </w:tc>
        <w:tc>
          <w:tcPr>
            <w:tcW w:type="dxa" w:w="1521"/>
            <w:shd w:val="clear" w:color="auto" w:fill="FFFFFF"/>
          </w:tcPr>
          <w:p>
            <w:pPr>
              <w:spacing w:after="20"/>
              <w:jc w:val="right"/>
            </w:pPr>
            <w:r>
              <w:rPr>
                <w:rFonts w:ascii="Calibri" w:hAnsi="Calibri"/>
                <w:b w:val="0"/>
                <w:i w:val="0"/>
                <w:color w:val="2B2F38"/>
                <w:sz w:val="19"/>
              </w:rPr>
              <w:t>Q4 FY26</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H1 FY26 MMM readout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H1 FY2026 Media Effectiveness and the H2 Reallocation</dc:title>
  <dc:subject/>
  <dc:creator>Acme Corp (synthetic)</dc:creator>
  <cp:keywords/>
  <dc:description>Internal measurement readout</dc:description>
  <cp:lastModifiedBy/>
  <cp:revision>1</cp:revision>
  <dcterms:created xsi:type="dcterms:W3CDTF">2013-12-23T23:15:00Z</dcterms:created>
  <dcterms:modified xsi:type="dcterms:W3CDTF">2013-12-23T23:15:00Z</dcterms:modified>
  <cp:category/>
</cp:coreProperties>
</file>