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60" w:before="0" w:line="274" w:lineRule="auto"/>
      </w:pPr>
      <w:r>
        <w:rPr>
          <w:rFonts w:ascii="Calibri" w:hAnsi="Calibri"/>
          <w:b/>
          <w:i w:val="0"/>
          <w:color w:val="2E7D75"/>
          <w:sz w:val="19"/>
        </w:rPr>
        <w:t>ACTION PLAN · 90 DAYS</w:t>
      </w:r>
    </w:p>
    <w:p>
      <w:pPr>
        <w:keepNext w:val="0"/>
        <w:spacing w:after="120" w:before="0" w:line="259" w:lineRule="auto"/>
      </w:pPr>
      <w:r>
        <w:rPr>
          <w:rFonts w:ascii="Calibri" w:hAnsi="Calibri"/>
          <w:b/>
          <w:i w:val="0"/>
          <w:color w:val="1F2A44"/>
          <w:sz w:val="46"/>
        </w:rPr>
        <w:t>Louisiana Recovery — 90-Day Action Plan</w:t>
      </w:r>
    </w:p>
    <w:p>
      <w:pPr>
        <w:keepNext w:val="0"/>
        <w:spacing w:after="160" w:before="0" w:line="288" w:lineRule="auto"/>
      </w:pPr>
      <w:r>
        <w:rPr>
          <w:rFonts w:ascii="Calibri" w:hAnsi="Calibri"/>
          <w:b w:val="0"/>
          <w:i w:val="0"/>
          <w:color w:val="5B6472"/>
          <w:sz w:val="26"/>
        </w:rPr>
        <w:t>Three legs, fourteen doors, one line review, and the measures we will be judged on in twelve weeks</w:t>
      </w:r>
    </w:p>
    <w:p>
      <w:pPr>
        <w:spacing w:after="120"/>
        <w:pBdr>
          <w:bottom w:val="single" w:sz="6" w:space="1" w:color="C9D2DB"/>
        </w:pBdr>
      </w:pPr>
    </w:p>
    <w:p>
      <w:pPr>
        <w:keepNext w:val="0"/>
        <w:spacing w:after="40" w:before="0" w:line="274" w:lineRule="auto"/>
      </w:pPr>
      <w:r>
        <w:rPr>
          <w:rFonts w:ascii="Calibri" w:hAnsi="Calibri"/>
          <w:b/>
          <w:i w:val="0"/>
          <w:color w:val="5B6472"/>
          <w:sz w:val="20"/>
        </w:rPr>
        <w:t>Marcus Boudreaux, Director Sales South, with Jordan Hsu (diagnostic)</w:t>
      </w:r>
    </w:p>
    <w:p>
      <w:pPr>
        <w:keepNext w:val="0"/>
        <w:spacing w:after="20" w:before="0" w:line="274" w:lineRule="auto"/>
      </w:pPr>
      <w:r>
        <w:rPr>
          <w:rFonts w:ascii="Calibri" w:hAnsi="Calibri"/>
          <w:b w:val="0"/>
          <w:i w:val="0"/>
          <w:color w:val="5B6472"/>
          <w:sz w:val="19"/>
        </w:rPr>
        <w:t>Period: August–October 2026</w:t>
      </w:r>
    </w:p>
    <w:p>
      <w:pPr>
        <w:keepNext w:val="0"/>
        <w:spacing w:after="20" w:before="0" w:line="274" w:lineRule="auto"/>
      </w:pPr>
      <w:r>
        <w:rPr>
          <w:rFonts w:ascii="Calibri" w:hAnsi="Calibri"/>
          <w:b w:val="0"/>
          <w:i w:val="0"/>
          <w:color w:val="5B6472"/>
          <w:sz w:val="19"/>
        </w:rPr>
        <w:t>Diagnostic: Report 58 · Brand plan: Report 66</w:t>
      </w:r>
    </w:p>
    <w:p>
      <w:pPr>
        <w:keepNext w:val="0"/>
        <w:spacing w:after="20" w:before="0" w:line="274" w:lineRule="auto"/>
      </w:pPr>
      <w:r>
        <w:rPr>
          <w:rFonts w:ascii="Calibri" w:hAnsi="Calibri"/>
          <w:b w:val="0"/>
          <w:i w:val="0"/>
          <w:color w:val="5B6472"/>
          <w:sz w:val="19"/>
        </w:rPr>
        <w:t>Version: v1 · July 2026</w:t>
      </w:r>
    </w:p>
    <w:p>
      <w:pPr>
        <w:keepNext w:val="0"/>
        <w:spacing w:after="200" w:before="0" w:line="274" w:lineRule="auto"/>
      </w:pPr>
      <w:r>
        <w:rPr>
          <w:rFonts w:ascii="Calibri" w:hAnsi="Calibri"/>
          <w:b w:val="0"/>
          <w:i w:val="0"/>
          <w:color w:val="5B6472"/>
          <w:sz w:val="19"/>
        </w:rPr>
        <w:t>Internal action plan · Internal · Confidential — synthetic demo data</w:t>
      </w:r>
    </w:p>
    <w:p>
      <w:pPr>
        <w:keepNext/>
        <w:spacing w:after="60" w:before="180" w:line="274" w:lineRule="auto"/>
      </w:pPr>
      <w:r>
        <w:rPr>
          <w:rFonts w:ascii="Calibri" w:hAnsi="Calibri"/>
          <w:b/>
          <w:i w:val="0"/>
          <w:color w:val="1F2A44"/>
          <w:sz w:val="23"/>
        </w:rPr>
        <w:t>At a glance</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96" w:type="dxa"/>
          <w:bottom w:w="40" w:type="dxa"/>
          <w:right w:w="96" w:type="dxa"/>
        </w:tblCellMar>
        <w:tblLook w:firstColumn="1" w:firstRow="1" w:lastColumn="0" w:lastRow="0" w:noHBand="0" w:noVBand="1" w:val="04A0"/>
      </w:tblPr>
      <w:tblGrid>
        <w:gridCol w:w="2376"/>
        <w:gridCol w:w="2376"/>
        <w:gridCol w:w="2376"/>
        <w:gridCol w:w="2376"/>
      </w:tblGrid>
      <w:tr>
        <w:tc>
          <w:tcPr>
            <w:tcW w:type="dxa" w:w="2376"/>
            <w:shd w:val="clear" w:color="auto" w:fill="F5F7F9"/>
          </w:tcPr>
          <w:p>
            <w:pPr>
              <w:spacing w:after="40"/>
            </w:pPr>
            <w:r>
              <w:rPr>
                <w:rFonts w:ascii="Calibri" w:hAnsi="Calibri"/>
                <w:b/>
                <w:i w:val="0"/>
                <w:color w:val="1F2A44"/>
                <w:sz w:val="34"/>
              </w:rPr>
              <w:t>−340 bps</w:t>
            </w:r>
          </w:p>
          <w:p>
            <w:pPr>
              <w:spacing w:after="40"/>
            </w:pPr>
            <w:r>
              <w:rPr>
                <w:rFonts w:ascii="Calibri" w:hAnsi="Calibri"/>
                <w:b/>
                <w:i w:val="0"/>
                <w:color w:val="5B6472"/>
                <w:sz w:val="16"/>
              </w:rPr>
              <w:t>PEAK-TO-TROUGH SHARE</w:t>
            </w:r>
          </w:p>
        </w:tc>
        <w:tc>
          <w:tcPr>
            <w:tcW w:type="dxa" w:w="2376"/>
            <w:shd w:val="clear" w:color="auto" w:fill="F5F7F9"/>
          </w:tcPr>
          <w:p>
            <w:pPr>
              <w:spacing w:after="40"/>
            </w:pPr>
            <w:r>
              <w:rPr>
                <w:rFonts w:ascii="Calibri" w:hAnsi="Calibri"/>
                <w:b/>
                <w:i w:val="0"/>
                <w:color w:val="1F2A44"/>
                <w:sz w:val="34"/>
              </w:rPr>
              <w:t>4.16%</w:t>
            </w:r>
          </w:p>
          <w:p>
            <w:pPr>
              <w:spacing w:after="40"/>
            </w:pPr>
            <w:r>
              <w:rPr>
                <w:rFonts w:ascii="Calibri" w:hAnsi="Calibri"/>
                <w:b/>
                <w:i w:val="0"/>
                <w:color w:val="5B6472"/>
                <w:sz w:val="16"/>
              </w:rPr>
              <w:t>SHARE TODAY</w:t>
            </w:r>
          </w:p>
        </w:tc>
        <w:tc>
          <w:tcPr>
            <w:tcW w:type="dxa" w:w="2376"/>
            <w:shd w:val="clear" w:color="auto" w:fill="F5F7F9"/>
          </w:tcPr>
          <w:p>
            <w:pPr>
              <w:spacing w:after="40"/>
            </w:pPr>
            <w:r>
              <w:rPr>
                <w:rFonts w:ascii="Calibri" w:hAnsi="Calibri"/>
                <w:b/>
                <w:i w:val="0"/>
                <w:color w:val="1F2A44"/>
                <w:sz w:val="34"/>
              </w:rPr>
              <w:t>4.0%</w:t>
            </w:r>
          </w:p>
          <w:p>
            <w:pPr>
              <w:spacing w:after="40"/>
            </w:pPr>
            <w:r>
              <w:rPr>
                <w:rFonts w:ascii="Calibri" w:hAnsi="Calibri"/>
                <w:b/>
                <w:i w:val="0"/>
                <w:color w:val="5B6472"/>
                <w:sz w:val="16"/>
              </w:rPr>
              <w:t>12-WEEK TARGET</w:t>
            </w:r>
          </w:p>
        </w:tc>
        <w:tc>
          <w:tcPr>
            <w:tcW w:type="dxa" w:w="2376"/>
            <w:shd w:val="clear" w:color="auto" w:fill="F5F7F9"/>
          </w:tcPr>
          <w:p>
            <w:pPr>
              <w:spacing w:after="40"/>
            </w:pPr>
            <w:r>
              <w:rPr>
                <w:rFonts w:ascii="Calibri" w:hAnsi="Calibri"/>
                <w:b/>
                <w:i w:val="0"/>
                <w:color w:val="1F2A44"/>
                <w:sz w:val="34"/>
              </w:rPr>
              <w:t>14</w:t>
            </w:r>
          </w:p>
          <w:p>
            <w:pPr>
              <w:spacing w:after="40"/>
            </w:pPr>
            <w:r>
              <w:rPr>
                <w:rFonts w:ascii="Calibri" w:hAnsi="Calibri"/>
                <w:b/>
                <w:i w:val="0"/>
                <w:color w:val="5B6472"/>
                <w:sz w:val="16"/>
              </w:rPr>
              <w:t>FOCUS DOORS</w:t>
            </w:r>
          </w:p>
        </w:tc>
      </w:tr>
    </w:tbl>
    <w:p>
      <w:pPr>
        <w:keepNext w:val="0"/>
        <w:spacing w:after="80" w:before="0" w:line="274" w:lineRule="auto"/>
      </w:pPr>
    </w:p>
    <w:p>
      <w:pPr>
        <w:keepNext/>
        <w:spacing w:after="40" w:before="240" w:line="274" w:lineRule="auto"/>
      </w:pPr>
      <w:r>
        <w:rPr>
          <w:rFonts w:ascii="Calibri" w:hAnsi="Calibri"/>
          <w:b/>
          <w:i w:val="0"/>
          <w:color w:val="2E7D75"/>
          <w:sz w:val="18"/>
        </w:rPr>
        <w:t>THE PLAN</w:t>
      </w:r>
    </w:p>
    <w:p>
      <w:pPr>
        <w:keepNext/>
        <w:spacing w:after="100" w:before="0" w:line="274" w:lineRule="auto"/>
      </w:pPr>
      <w:r>
        <w:rPr>
          <w:rFonts w:ascii="Calibri" w:hAnsi="Calibri"/>
          <w:b/>
          <w:i w:val="0"/>
          <w:color w:val="1F2A44"/>
          <w:sz w:val="31"/>
        </w:rPr>
        <w:t>1 · Three legs, in order</w:t>
      </w:r>
    </w:p>
    <w:p>
      <w:pPr>
        <w:keepNext w:val="0"/>
        <w:spacing w:after="160" w:before="0" w:line="293" w:lineRule="auto"/>
      </w:pPr>
      <w:r>
        <w:rPr>
          <w:rFonts w:ascii="Calibri" w:hAnsi="Calibri"/>
          <w:b w:val="0"/>
          <w:i/>
          <w:color w:val="5B6472"/>
          <w:sz w:val="24"/>
        </w:rPr>
        <w:t>Shelf first, availability second, demand third. Media into an empty shelf is wasted money.</w:t>
      </w:r>
    </w:p>
    <w:p>
      <w:pPr>
        <w:keepNext w:val="0"/>
        <w:spacing w:after="120" w:before="0" w:line="274" w:lineRule="auto"/>
      </w:pPr>
      <w:r>
        <w:rPr>
          <w:rFonts w:ascii="Calibri" w:hAnsi="Calibri"/>
          <w:b w:val="0"/>
          <w:i w:val="0"/>
          <w:color w:val="2B2F38"/>
          <w:sz w:val="21"/>
        </w:rPr>
        <w:t>Crunchwell's Louisiana share fell approximately 340 basis points from the Mass/Grocery peak to 3.0% in Q1 FY2026 and has recovered to 4.16% on the all-channel value-weighted measure. Root-cause attribution puts roughly 55% of the decline on the September 2025 Walmart modular reset, 20% on Larksfield promotional intensity at Rouses, 12% on the Hurricane Tonya supply event, and the balance on private label and shopper-mix shift. The sequence of this plan follows that attribution.</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1140"/>
        <w:gridCol w:w="3231"/>
        <w:gridCol w:w="1236"/>
        <w:gridCol w:w="1806"/>
        <w:gridCol w:w="2091"/>
      </w:tblGrid>
      <w:tr>
        <w:tc>
          <w:tcPr>
            <w:tcW w:type="dxa" w:w="1140"/>
            <w:shd w:val="clear" w:color="auto" w:fill="1F2A44"/>
          </w:tcPr>
          <w:p>
            <w:pPr>
              <w:spacing w:after="20"/>
            </w:pPr>
            <w:r>
              <w:rPr>
                <w:rFonts w:ascii="Calibri" w:hAnsi="Calibri"/>
                <w:b/>
                <w:i w:val="0"/>
                <w:color w:val="FFFFFF"/>
                <w:sz w:val="17"/>
              </w:rPr>
              <w:t>Leg</w:t>
            </w:r>
          </w:p>
        </w:tc>
        <w:tc>
          <w:tcPr>
            <w:tcW w:type="dxa" w:w="3231"/>
            <w:shd w:val="clear" w:color="auto" w:fill="1F2A44"/>
          </w:tcPr>
          <w:p>
            <w:pPr>
              <w:spacing w:after="20"/>
            </w:pPr>
            <w:r>
              <w:rPr>
                <w:rFonts w:ascii="Calibri" w:hAnsi="Calibri"/>
                <w:b/>
                <w:i w:val="0"/>
                <w:color w:val="FFFFFF"/>
                <w:sz w:val="17"/>
              </w:rPr>
              <w:t>What we do</w:t>
            </w:r>
          </w:p>
        </w:tc>
        <w:tc>
          <w:tcPr>
            <w:tcW w:type="dxa" w:w="1236"/>
            <w:shd w:val="clear" w:color="auto" w:fill="1F2A44"/>
          </w:tcPr>
          <w:p>
            <w:pPr>
              <w:spacing w:after="20"/>
            </w:pPr>
            <w:r>
              <w:rPr>
                <w:rFonts w:ascii="Calibri" w:hAnsi="Calibri"/>
                <w:b/>
                <w:i w:val="0"/>
                <w:color w:val="FFFFFF"/>
                <w:sz w:val="17"/>
              </w:rPr>
              <w:t>Investment</w:t>
            </w:r>
          </w:p>
        </w:tc>
        <w:tc>
          <w:tcPr>
            <w:tcW w:type="dxa" w:w="1806"/>
            <w:shd w:val="clear" w:color="auto" w:fill="1F2A44"/>
          </w:tcPr>
          <w:p>
            <w:pPr>
              <w:spacing w:after="20"/>
            </w:pPr>
            <w:r>
              <w:rPr>
                <w:rFonts w:ascii="Calibri" w:hAnsi="Calibri"/>
                <w:b/>
                <w:i w:val="0"/>
                <w:color w:val="FFFFFF"/>
                <w:sz w:val="17"/>
              </w:rPr>
              <w:t>Owner</w:t>
            </w:r>
          </w:p>
        </w:tc>
        <w:tc>
          <w:tcPr>
            <w:tcW w:type="dxa" w:w="2091"/>
            <w:shd w:val="clear" w:color="auto" w:fill="1F2A44"/>
          </w:tcPr>
          <w:p>
            <w:pPr>
              <w:spacing w:after="20"/>
            </w:pPr>
            <w:r>
              <w:rPr>
                <w:rFonts w:ascii="Calibri" w:hAnsi="Calibri"/>
                <w:b/>
                <w:i w:val="0"/>
                <w:color w:val="FFFFFF"/>
                <w:sz w:val="17"/>
              </w:rPr>
              <w:t>12-week measure</w:t>
            </w:r>
          </w:p>
        </w:tc>
      </w:tr>
      <w:tr>
        <w:tc>
          <w:tcPr>
            <w:tcW w:type="dxa" w:w="1140"/>
            <w:shd w:val="clear" w:color="auto" w:fill="FFFFFF"/>
          </w:tcPr>
          <w:p>
            <w:pPr>
              <w:spacing w:after="20"/>
            </w:pPr>
            <w:r>
              <w:rPr>
                <w:rFonts w:ascii="Calibri" w:hAnsi="Calibri"/>
                <w:b w:val="0"/>
                <w:i w:val="0"/>
                <w:color w:val="2B2F38"/>
                <w:sz w:val="18"/>
              </w:rPr>
              <w:t>1 · Shelf</w:t>
            </w:r>
          </w:p>
        </w:tc>
        <w:tc>
          <w:tcPr>
            <w:tcW w:type="dxa" w:w="3231"/>
            <w:shd w:val="clear" w:color="auto" w:fill="FFFFFF"/>
          </w:tcPr>
          <w:p>
            <w:pPr>
              <w:spacing w:after="20"/>
            </w:pPr>
            <w:r>
              <w:rPr>
                <w:rFonts w:ascii="Calibri" w:hAnsi="Calibri"/>
                <w:b w:val="0"/>
                <w:i w:val="0"/>
                <w:color w:val="2B2F38"/>
                <w:sz w:val="18"/>
              </w:rPr>
              <w:t>Restore Crunchwell Mega to 8 facings in the Walmart LA modular; win one endcap per supercenter</w:t>
            </w:r>
          </w:p>
        </w:tc>
        <w:tc>
          <w:tcPr>
            <w:tcW w:type="dxa" w:w="1236"/>
            <w:shd w:val="clear" w:color="auto" w:fill="FFFFFF"/>
          </w:tcPr>
          <w:p>
            <w:pPr>
              <w:spacing w:after="20"/>
            </w:pPr>
            <w:r>
              <w:rPr>
                <w:rFonts w:ascii="Calibri" w:hAnsi="Calibri"/>
                <w:b w:val="0"/>
                <w:i w:val="0"/>
                <w:color w:val="2B2F38"/>
                <w:sz w:val="18"/>
              </w:rPr>
              <w:t>Line-review ask</w:t>
            </w:r>
          </w:p>
        </w:tc>
        <w:tc>
          <w:tcPr>
            <w:tcW w:type="dxa" w:w="1806"/>
            <w:shd w:val="clear" w:color="auto" w:fill="FFFFFF"/>
          </w:tcPr>
          <w:p>
            <w:pPr>
              <w:spacing w:after="20"/>
            </w:pPr>
            <w:r>
              <w:rPr>
                <w:rFonts w:ascii="Calibri" w:hAnsi="Calibri"/>
                <w:b w:val="0"/>
                <w:i w:val="0"/>
                <w:color w:val="2B2F38"/>
                <w:sz w:val="18"/>
              </w:rPr>
              <w:t>Marcus Boudreaux</w:t>
            </w:r>
          </w:p>
        </w:tc>
        <w:tc>
          <w:tcPr>
            <w:tcW w:type="dxa" w:w="2091"/>
            <w:shd w:val="clear" w:color="auto" w:fill="FFFFFF"/>
          </w:tcPr>
          <w:p>
            <w:pPr>
              <w:spacing w:after="20"/>
            </w:pPr>
            <w:r>
              <w:rPr>
                <w:rFonts w:ascii="Calibri" w:hAnsi="Calibri"/>
                <w:b w:val="0"/>
                <w:i w:val="0"/>
                <w:color w:val="2B2F38"/>
                <w:sz w:val="18"/>
              </w:rPr>
              <w:t>Average facings ≥7.5; at least one endcap</w:t>
            </w:r>
          </w:p>
        </w:tc>
      </w:tr>
      <w:tr>
        <w:tc>
          <w:tcPr>
            <w:tcW w:type="dxa" w:w="1140"/>
            <w:shd w:val="clear" w:color="auto" w:fill="F5F7F9"/>
          </w:tcPr>
          <w:p>
            <w:pPr>
              <w:spacing w:after="20"/>
            </w:pPr>
            <w:r>
              <w:rPr>
                <w:rFonts w:ascii="Calibri" w:hAnsi="Calibri"/>
                <w:b w:val="0"/>
                <w:i w:val="0"/>
                <w:color w:val="2B2F38"/>
                <w:sz w:val="18"/>
              </w:rPr>
              <w:t>2 · Availability</w:t>
            </w:r>
          </w:p>
        </w:tc>
        <w:tc>
          <w:tcPr>
            <w:tcW w:type="dxa" w:w="3231"/>
            <w:shd w:val="clear" w:color="auto" w:fill="F5F7F9"/>
          </w:tcPr>
          <w:p>
            <w:pPr>
              <w:spacing w:after="20"/>
            </w:pPr>
            <w:r>
              <w:rPr>
                <w:rFonts w:ascii="Calibri" w:hAnsi="Calibri"/>
                <w:b w:val="0"/>
                <w:i w:val="0"/>
                <w:color w:val="2B2F38"/>
                <w:sz w:val="18"/>
              </w:rPr>
              <w:t>Third-party merchandising in the 14 worst doors; Rouses OSA recovery programme</w:t>
            </w:r>
          </w:p>
        </w:tc>
        <w:tc>
          <w:tcPr>
            <w:tcW w:type="dxa" w:w="1236"/>
            <w:shd w:val="clear" w:color="auto" w:fill="F5F7F9"/>
          </w:tcPr>
          <w:p>
            <w:pPr>
              <w:spacing w:after="20"/>
            </w:pPr>
            <w:r>
              <w:rPr>
                <w:rFonts w:ascii="Calibri" w:hAnsi="Calibri"/>
                <w:b w:val="0"/>
                <w:i w:val="0"/>
                <w:color w:val="2B2F38"/>
                <w:sz w:val="18"/>
              </w:rPr>
              <w:t>≈$0.4M</w:t>
            </w:r>
          </w:p>
        </w:tc>
        <w:tc>
          <w:tcPr>
            <w:tcW w:type="dxa" w:w="1806"/>
            <w:shd w:val="clear" w:color="auto" w:fill="F5F7F9"/>
          </w:tcPr>
          <w:p>
            <w:pPr>
              <w:spacing w:after="20"/>
            </w:pPr>
            <w:r>
              <w:rPr>
                <w:rFonts w:ascii="Calibri" w:hAnsi="Calibri"/>
                <w:b w:val="0"/>
                <w:i w:val="0"/>
                <w:color w:val="2B2F38"/>
                <w:sz w:val="18"/>
              </w:rPr>
              <w:t>Customer Logistics</w:t>
            </w:r>
          </w:p>
        </w:tc>
        <w:tc>
          <w:tcPr>
            <w:tcW w:type="dxa" w:w="2091"/>
            <w:shd w:val="clear" w:color="auto" w:fill="F5F7F9"/>
          </w:tcPr>
          <w:p>
            <w:pPr>
              <w:spacing w:after="20"/>
            </w:pPr>
            <w:r>
              <w:rPr>
                <w:rFonts w:ascii="Calibri" w:hAnsi="Calibri"/>
                <w:b w:val="0"/>
                <w:i w:val="0"/>
                <w:color w:val="2B2F38"/>
                <w:sz w:val="18"/>
              </w:rPr>
              <w:t>OSA ≥90% in audited doors</w:t>
            </w:r>
          </w:p>
        </w:tc>
      </w:tr>
      <w:tr>
        <w:tc>
          <w:tcPr>
            <w:tcW w:type="dxa" w:w="1140"/>
            <w:shd w:val="clear" w:color="auto" w:fill="FFFFFF"/>
          </w:tcPr>
          <w:p>
            <w:pPr>
              <w:spacing w:after="20"/>
            </w:pPr>
            <w:r>
              <w:rPr>
                <w:rFonts w:ascii="Calibri" w:hAnsi="Calibri"/>
                <w:b w:val="0"/>
                <w:i w:val="0"/>
                <w:color w:val="2B2F38"/>
                <w:sz w:val="18"/>
              </w:rPr>
              <w:t>3 · Demand</w:t>
            </w:r>
          </w:p>
        </w:tc>
        <w:tc>
          <w:tcPr>
            <w:tcW w:type="dxa" w:w="3231"/>
            <w:shd w:val="clear" w:color="auto" w:fill="FFFFFF"/>
          </w:tcPr>
          <w:p>
            <w:pPr>
              <w:spacing w:after="20"/>
            </w:pPr>
            <w:r>
              <w:rPr>
                <w:rFonts w:ascii="Calibri" w:hAnsi="Calibri"/>
                <w:b w:val="0"/>
                <w:i w:val="0"/>
                <w:color w:val="2B2F38"/>
                <w:sz w:val="18"/>
              </w:rPr>
              <w:t>Louisiana retail-media injection plus targeted Rouses trade at capped depth</w:t>
            </w:r>
          </w:p>
        </w:tc>
        <w:tc>
          <w:tcPr>
            <w:tcW w:type="dxa" w:w="1236"/>
            <w:shd w:val="clear" w:color="auto" w:fill="FFFFFF"/>
          </w:tcPr>
          <w:p>
            <w:pPr>
              <w:spacing w:after="20"/>
            </w:pPr>
            <w:r>
              <w:rPr>
                <w:rFonts w:ascii="Calibri" w:hAnsi="Calibri"/>
                <w:b w:val="0"/>
                <w:i w:val="0"/>
                <w:color w:val="2B2F38"/>
                <w:sz w:val="18"/>
              </w:rPr>
              <w:t>≈$1.1M</w:t>
            </w:r>
          </w:p>
        </w:tc>
        <w:tc>
          <w:tcPr>
            <w:tcW w:type="dxa" w:w="1806"/>
            <w:shd w:val="clear" w:color="auto" w:fill="FFFFFF"/>
          </w:tcPr>
          <w:p>
            <w:pPr>
              <w:spacing w:after="20"/>
            </w:pPr>
            <w:r>
              <w:rPr>
                <w:rFonts w:ascii="Calibri" w:hAnsi="Calibri"/>
                <w:b w:val="0"/>
                <w:i w:val="0"/>
                <w:color w:val="2B2F38"/>
                <w:sz w:val="18"/>
              </w:rPr>
              <w:t>Tasha Brooks / NAM</w:t>
            </w:r>
          </w:p>
        </w:tc>
        <w:tc>
          <w:tcPr>
            <w:tcW w:type="dxa" w:w="2091"/>
            <w:shd w:val="clear" w:color="auto" w:fill="FFFFFF"/>
          </w:tcPr>
          <w:p>
            <w:pPr>
              <w:spacing w:after="20"/>
            </w:pPr>
            <w:r>
              <w:rPr>
                <w:rFonts w:ascii="Calibri" w:hAnsi="Calibri"/>
                <w:b w:val="0"/>
                <w:i w:val="0"/>
                <w:color w:val="2B2F38"/>
                <w:sz w:val="18"/>
              </w:rPr>
              <w:t>LA Crunchwell share ≥4.0%</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Investment figures are the funded amounts; media leg ROI is 2.2x portfolio average per seed_retail_media_spend_q1_2026.</w:t>
      </w:r>
    </w:p>
    <w:p>
      <w:pPr>
        <w:spacing w:before="80" w:after="40"/>
      </w:pPr>
      <w:r>
        <w:drawing>
          <wp:inline xmlns:a="http://schemas.openxmlformats.org/drawingml/2006/main" xmlns:pic="http://schemas.openxmlformats.org/drawingml/2006/picture">
            <wp:extent cx="6035040" cy="2372615"/>
            <wp:docPr id="1" name="Picture 1"/>
            <wp:cNvGraphicFramePr>
              <a:graphicFrameLocks noChangeAspect="1"/>
            </wp:cNvGraphicFramePr>
            <a:graphic>
              <a:graphicData uri="http://schemas.openxmlformats.org/drawingml/2006/picture">
                <pic:pic>
                  <pic:nvPicPr>
                    <pic:cNvPr id="0" name="r76_share.png"/>
                    <pic:cNvPicPr/>
                  </pic:nvPicPr>
                  <pic:blipFill>
                    <a:blip r:embed="rId10"/>
                    <a:stretch>
                      <a:fillRect/>
                    </a:stretch>
                  </pic:blipFill>
                  <pic:spPr>
                    <a:xfrm>
                      <a:off x="0" y="0"/>
                      <a:ext cx="6035040" cy="2372615"/>
                    </a:xfrm>
                    <a:prstGeom prst="rect"/>
                  </pic:spPr>
                </pic:pic>
              </a:graphicData>
            </a:graphic>
          </wp:inline>
        </w:drawing>
      </w:r>
    </w:p>
    <w:p>
      <w:pPr>
        <w:keepNext w:val="0"/>
        <w:spacing w:after="160" w:before="0" w:line="274" w:lineRule="auto"/>
      </w:pPr>
      <w:r>
        <w:rPr>
          <w:rFonts w:ascii="Calibri" w:hAnsi="Calibri"/>
          <w:b w:val="0"/>
          <w:i/>
          <w:color w:val="5B6472"/>
          <w:sz w:val="17"/>
        </w:rPr>
        <w:t>The trough and the partial recovery. The 12-week target is 4.0% on this measure.</w:t>
      </w:r>
    </w:p>
    <w:p>
      <w:pPr>
        <w:keepNext/>
        <w:spacing w:after="40" w:before="240" w:line="274" w:lineRule="auto"/>
      </w:pPr>
      <w:r>
        <w:rPr>
          <w:rFonts w:ascii="Calibri" w:hAnsi="Calibri"/>
          <w:b/>
          <w:i w:val="0"/>
          <w:color w:val="2E7D75"/>
          <w:sz w:val="18"/>
        </w:rPr>
        <w:t>LEG ONE</w:t>
      </w:r>
    </w:p>
    <w:p>
      <w:pPr>
        <w:keepNext/>
        <w:spacing w:after="100" w:before="0" w:line="274" w:lineRule="auto"/>
      </w:pPr>
      <w:r>
        <w:rPr>
          <w:rFonts w:ascii="Calibri" w:hAnsi="Calibri"/>
          <w:b/>
          <w:i w:val="0"/>
          <w:color w:val="1F2A44"/>
          <w:sz w:val="31"/>
        </w:rPr>
        <w:t>2 · Shelf — the August line review</w:t>
      </w:r>
    </w:p>
    <w:p>
      <w:pPr>
        <w:keepNext w:val="0"/>
        <w:spacing w:after="120" w:before="0" w:line="274" w:lineRule="auto"/>
      </w:pPr>
      <w:r>
        <w:rPr>
          <w:rFonts w:ascii="Calibri" w:hAnsi="Calibri"/>
          <w:b w:val="0"/>
          <w:i w:val="0"/>
          <w:color w:val="2B2F38"/>
          <w:sz w:val="21"/>
        </w:rPr>
        <w:t>The single most important action in this plan happens in one meeting. The September 2025 modular cut Crunchwell Mega from 8 facings to 6 across the Louisiana DMA. The audit shows Larksfield averaging 2.36 endcaps per store against Acme's 0.03, and Field &amp; Honey holding 5.96 facings against Crunchwell Mega's 4.06.</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1901"/>
        <w:gridCol w:w="1236"/>
        <w:gridCol w:w="1901"/>
        <w:gridCol w:w="1616"/>
        <w:gridCol w:w="1806"/>
        <w:gridCol w:w="1045"/>
      </w:tblGrid>
      <w:tr>
        <w:tc>
          <w:tcPr>
            <w:tcW w:type="dxa" w:w="1901"/>
            <w:shd w:val="clear" w:color="auto" w:fill="1F2A44"/>
          </w:tcPr>
          <w:p>
            <w:pPr>
              <w:spacing w:after="20"/>
            </w:pPr>
            <w:r>
              <w:rPr>
                <w:rFonts w:ascii="Calibri" w:hAnsi="Calibri"/>
                <w:b/>
                <w:i w:val="0"/>
                <w:color w:val="FFFFFF"/>
                <w:sz w:val="17"/>
              </w:rPr>
              <w:t>City</w:t>
            </w:r>
          </w:p>
        </w:tc>
        <w:tc>
          <w:tcPr>
            <w:tcW w:type="dxa" w:w="1236"/>
            <w:shd w:val="clear" w:color="auto" w:fill="1F2A44"/>
          </w:tcPr>
          <w:p>
            <w:pPr>
              <w:spacing w:after="20"/>
              <w:jc w:val="right"/>
            </w:pPr>
            <w:r>
              <w:rPr>
                <w:rFonts w:ascii="Calibri" w:hAnsi="Calibri"/>
                <w:b/>
                <w:i w:val="0"/>
                <w:color w:val="FFFFFF"/>
                <w:sz w:val="17"/>
              </w:rPr>
              <w:t>Stores</w:t>
            </w:r>
          </w:p>
        </w:tc>
        <w:tc>
          <w:tcPr>
            <w:tcW w:type="dxa" w:w="1901"/>
            <w:shd w:val="clear" w:color="auto" w:fill="1F2A44"/>
          </w:tcPr>
          <w:p>
            <w:pPr>
              <w:spacing w:after="20"/>
              <w:jc w:val="right"/>
            </w:pPr>
            <w:r>
              <w:rPr>
                <w:rFonts w:ascii="Calibri" w:hAnsi="Calibri"/>
                <w:b/>
                <w:i w:val="0"/>
                <w:color w:val="FFFFFF"/>
                <w:sz w:val="17"/>
              </w:rPr>
              <w:t>CW Mega facings</w:t>
            </w:r>
          </w:p>
        </w:tc>
        <w:tc>
          <w:tcPr>
            <w:tcW w:type="dxa" w:w="1616"/>
            <w:shd w:val="clear" w:color="auto" w:fill="1F2A44"/>
          </w:tcPr>
          <w:p>
            <w:pPr>
              <w:spacing w:after="20"/>
              <w:jc w:val="right"/>
            </w:pPr>
            <w:r>
              <w:rPr>
                <w:rFonts w:ascii="Calibri" w:hAnsi="Calibri"/>
                <w:b/>
                <w:i w:val="0"/>
                <w:color w:val="FFFFFF"/>
                <w:sz w:val="17"/>
              </w:rPr>
              <w:t>F&amp;H facings</w:t>
            </w:r>
          </w:p>
        </w:tc>
        <w:tc>
          <w:tcPr>
            <w:tcW w:type="dxa" w:w="1806"/>
            <w:shd w:val="clear" w:color="auto" w:fill="1F2A44"/>
          </w:tcPr>
          <w:p>
            <w:pPr>
              <w:spacing w:after="20"/>
              <w:jc w:val="right"/>
            </w:pPr>
            <w:r>
              <w:rPr>
                <w:rFonts w:ascii="Calibri" w:hAnsi="Calibri"/>
                <w:b/>
                <w:i w:val="0"/>
                <w:color w:val="FFFFFF"/>
                <w:sz w:val="17"/>
              </w:rPr>
              <w:t>Larksfield endcaps</w:t>
            </w:r>
          </w:p>
        </w:tc>
        <w:tc>
          <w:tcPr>
            <w:tcW w:type="dxa" w:w="1045"/>
            <w:shd w:val="clear" w:color="auto" w:fill="1F2A44"/>
          </w:tcPr>
          <w:p>
            <w:pPr>
              <w:spacing w:after="20"/>
              <w:jc w:val="right"/>
            </w:pPr>
            <w:r>
              <w:rPr>
                <w:rFonts w:ascii="Calibri" w:hAnsi="Calibri"/>
                <w:b/>
                <w:i w:val="0"/>
                <w:color w:val="FFFFFF"/>
                <w:sz w:val="17"/>
              </w:rPr>
              <w:t>Mega OOS</w:t>
            </w:r>
          </w:p>
        </w:tc>
      </w:tr>
      <w:tr>
        <w:tc>
          <w:tcPr>
            <w:tcW w:type="dxa" w:w="1901"/>
            <w:shd w:val="clear" w:color="auto" w:fill="FFFFFF"/>
          </w:tcPr>
          <w:p>
            <w:pPr>
              <w:spacing w:after="20"/>
            </w:pPr>
            <w:r>
              <w:rPr>
                <w:rFonts w:ascii="Calibri" w:hAnsi="Calibri"/>
                <w:b w:val="0"/>
                <w:i w:val="0"/>
                <w:color w:val="2B2F38"/>
                <w:sz w:val="18"/>
              </w:rPr>
              <w:t>Baton Rouge</w:t>
            </w:r>
          </w:p>
        </w:tc>
        <w:tc>
          <w:tcPr>
            <w:tcW w:type="dxa" w:w="1236"/>
            <w:shd w:val="clear" w:color="auto" w:fill="FFFFFF"/>
          </w:tcPr>
          <w:p>
            <w:pPr>
              <w:spacing w:after="20"/>
              <w:jc w:val="right"/>
            </w:pPr>
            <w:r>
              <w:rPr>
                <w:rFonts w:ascii="Calibri" w:hAnsi="Calibri"/>
                <w:b w:val="0"/>
                <w:i w:val="0"/>
                <w:color w:val="2B2F38"/>
                <w:sz w:val="18"/>
              </w:rPr>
              <w:t>14</w:t>
            </w:r>
          </w:p>
        </w:tc>
        <w:tc>
          <w:tcPr>
            <w:tcW w:type="dxa" w:w="1901"/>
            <w:shd w:val="clear" w:color="auto" w:fill="FFFFFF"/>
          </w:tcPr>
          <w:p>
            <w:pPr>
              <w:spacing w:after="20"/>
              <w:jc w:val="right"/>
            </w:pPr>
            <w:r>
              <w:rPr>
                <w:rFonts w:ascii="Calibri" w:hAnsi="Calibri"/>
                <w:b w:val="0"/>
                <w:i w:val="0"/>
                <w:color w:val="2B2F38"/>
                <w:sz w:val="18"/>
              </w:rPr>
              <w:t>4.57</w:t>
            </w:r>
          </w:p>
        </w:tc>
        <w:tc>
          <w:tcPr>
            <w:tcW w:type="dxa" w:w="1616"/>
            <w:shd w:val="clear" w:color="auto" w:fill="FFFFFF"/>
          </w:tcPr>
          <w:p>
            <w:pPr>
              <w:spacing w:after="20"/>
              <w:jc w:val="right"/>
            </w:pPr>
            <w:r>
              <w:rPr>
                <w:rFonts w:ascii="Calibri" w:hAnsi="Calibri"/>
                <w:b w:val="0"/>
                <w:i w:val="0"/>
                <w:color w:val="2B2F38"/>
                <w:sz w:val="18"/>
              </w:rPr>
              <w:t>5.64</w:t>
            </w:r>
          </w:p>
        </w:tc>
        <w:tc>
          <w:tcPr>
            <w:tcW w:type="dxa" w:w="1806"/>
            <w:shd w:val="clear" w:color="auto" w:fill="FFFFFF"/>
          </w:tcPr>
          <w:p>
            <w:pPr>
              <w:spacing w:after="20"/>
              <w:jc w:val="right"/>
            </w:pPr>
            <w:r>
              <w:rPr>
                <w:rFonts w:ascii="Calibri" w:hAnsi="Calibri"/>
                <w:b w:val="0"/>
                <w:i w:val="0"/>
                <w:color w:val="2B2F38"/>
                <w:sz w:val="18"/>
              </w:rPr>
              <w:t>2.57</w:t>
            </w:r>
          </w:p>
        </w:tc>
        <w:tc>
          <w:tcPr>
            <w:tcW w:type="dxa" w:w="1045"/>
            <w:shd w:val="clear" w:color="auto" w:fill="FFFFFF"/>
          </w:tcPr>
          <w:p>
            <w:pPr>
              <w:spacing w:after="20"/>
              <w:jc w:val="right"/>
            </w:pPr>
            <w:r>
              <w:rPr>
                <w:rFonts w:ascii="Calibri" w:hAnsi="Calibri"/>
                <w:b w:val="0"/>
                <w:i w:val="0"/>
                <w:color w:val="2B2F38"/>
                <w:sz w:val="18"/>
              </w:rPr>
              <w:t>29%</w:t>
            </w:r>
          </w:p>
        </w:tc>
      </w:tr>
      <w:tr>
        <w:tc>
          <w:tcPr>
            <w:tcW w:type="dxa" w:w="1901"/>
            <w:shd w:val="clear" w:color="auto" w:fill="F5F7F9"/>
          </w:tcPr>
          <w:p>
            <w:pPr>
              <w:spacing w:after="20"/>
            </w:pPr>
            <w:r>
              <w:rPr>
                <w:rFonts w:ascii="Calibri" w:hAnsi="Calibri"/>
                <w:b w:val="0"/>
                <w:i w:val="0"/>
                <w:color w:val="2B2F38"/>
                <w:sz w:val="18"/>
              </w:rPr>
              <w:t>Burbank</w:t>
            </w:r>
          </w:p>
        </w:tc>
        <w:tc>
          <w:tcPr>
            <w:tcW w:type="dxa" w:w="1236"/>
            <w:shd w:val="clear" w:color="auto" w:fill="F5F7F9"/>
          </w:tcPr>
          <w:p>
            <w:pPr>
              <w:spacing w:after="20"/>
              <w:jc w:val="right"/>
            </w:pPr>
            <w:r>
              <w:rPr>
                <w:rFonts w:ascii="Calibri" w:hAnsi="Calibri"/>
                <w:b w:val="0"/>
                <w:i w:val="0"/>
                <w:color w:val="2B2F38"/>
                <w:sz w:val="18"/>
              </w:rPr>
              <w:t>8</w:t>
            </w:r>
          </w:p>
        </w:tc>
        <w:tc>
          <w:tcPr>
            <w:tcW w:type="dxa" w:w="1901"/>
            <w:shd w:val="clear" w:color="auto" w:fill="F5F7F9"/>
          </w:tcPr>
          <w:p>
            <w:pPr>
              <w:spacing w:after="20"/>
              <w:jc w:val="right"/>
            </w:pPr>
            <w:r>
              <w:rPr>
                <w:rFonts w:ascii="Calibri" w:hAnsi="Calibri"/>
                <w:b w:val="0"/>
                <w:i w:val="0"/>
                <w:color w:val="2B2F38"/>
                <w:sz w:val="18"/>
              </w:rPr>
              <w:t>4.50</w:t>
            </w:r>
          </w:p>
        </w:tc>
        <w:tc>
          <w:tcPr>
            <w:tcW w:type="dxa" w:w="1616"/>
            <w:shd w:val="clear" w:color="auto" w:fill="F5F7F9"/>
          </w:tcPr>
          <w:p>
            <w:pPr>
              <w:spacing w:after="20"/>
              <w:jc w:val="right"/>
            </w:pPr>
            <w:r>
              <w:rPr>
                <w:rFonts w:ascii="Calibri" w:hAnsi="Calibri"/>
                <w:b w:val="0"/>
                <w:i w:val="0"/>
                <w:color w:val="2B2F38"/>
                <w:sz w:val="18"/>
              </w:rPr>
              <w:t>5.63</w:t>
            </w:r>
          </w:p>
        </w:tc>
        <w:tc>
          <w:tcPr>
            <w:tcW w:type="dxa" w:w="1806"/>
            <w:shd w:val="clear" w:color="auto" w:fill="F5F7F9"/>
          </w:tcPr>
          <w:p>
            <w:pPr>
              <w:spacing w:after="20"/>
              <w:jc w:val="right"/>
            </w:pPr>
            <w:r>
              <w:rPr>
                <w:rFonts w:ascii="Calibri" w:hAnsi="Calibri"/>
                <w:b w:val="0"/>
                <w:i w:val="0"/>
                <w:color w:val="2B2F38"/>
                <w:sz w:val="18"/>
              </w:rPr>
              <w:t>2.50</w:t>
            </w:r>
          </w:p>
        </w:tc>
        <w:tc>
          <w:tcPr>
            <w:tcW w:type="dxa" w:w="1045"/>
            <w:shd w:val="clear" w:color="auto" w:fill="F5F7F9"/>
          </w:tcPr>
          <w:p>
            <w:pPr>
              <w:spacing w:after="20"/>
              <w:jc w:val="right"/>
            </w:pPr>
            <w:r>
              <w:rPr>
                <w:rFonts w:ascii="Calibri" w:hAnsi="Calibri"/>
                <w:b w:val="0"/>
                <w:i w:val="0"/>
                <w:color w:val="2B2F38"/>
                <w:sz w:val="18"/>
              </w:rPr>
              <w:t>25%</w:t>
            </w:r>
          </w:p>
        </w:tc>
      </w:tr>
      <w:tr>
        <w:tc>
          <w:tcPr>
            <w:tcW w:type="dxa" w:w="1901"/>
            <w:shd w:val="clear" w:color="auto" w:fill="FFFFFF"/>
          </w:tcPr>
          <w:p>
            <w:pPr>
              <w:spacing w:after="20"/>
            </w:pPr>
            <w:r>
              <w:rPr>
                <w:rFonts w:ascii="Calibri" w:hAnsi="Calibri"/>
                <w:b w:val="0"/>
                <w:i w:val="0"/>
                <w:color w:val="2B2F38"/>
                <w:sz w:val="18"/>
              </w:rPr>
              <w:t>Lafayette</w:t>
            </w:r>
          </w:p>
        </w:tc>
        <w:tc>
          <w:tcPr>
            <w:tcW w:type="dxa" w:w="1236"/>
            <w:shd w:val="clear" w:color="auto" w:fill="FFFFFF"/>
          </w:tcPr>
          <w:p>
            <w:pPr>
              <w:spacing w:after="20"/>
              <w:jc w:val="right"/>
            </w:pPr>
            <w:r>
              <w:rPr>
                <w:rFonts w:ascii="Calibri" w:hAnsi="Calibri"/>
                <w:b w:val="0"/>
                <w:i w:val="0"/>
                <w:color w:val="2B2F38"/>
                <w:sz w:val="18"/>
              </w:rPr>
              <w:t>5</w:t>
            </w:r>
          </w:p>
        </w:tc>
        <w:tc>
          <w:tcPr>
            <w:tcW w:type="dxa" w:w="1901"/>
            <w:shd w:val="clear" w:color="auto" w:fill="FFFFFF"/>
          </w:tcPr>
          <w:p>
            <w:pPr>
              <w:spacing w:after="20"/>
              <w:jc w:val="right"/>
            </w:pPr>
            <w:r>
              <w:rPr>
                <w:rFonts w:ascii="Calibri" w:hAnsi="Calibri"/>
                <w:b w:val="0"/>
                <w:i w:val="0"/>
                <w:color w:val="2B2F38"/>
                <w:sz w:val="18"/>
              </w:rPr>
              <w:t>4.00</w:t>
            </w:r>
          </w:p>
        </w:tc>
        <w:tc>
          <w:tcPr>
            <w:tcW w:type="dxa" w:w="1616"/>
            <w:shd w:val="clear" w:color="auto" w:fill="FFFFFF"/>
          </w:tcPr>
          <w:p>
            <w:pPr>
              <w:spacing w:after="20"/>
              <w:jc w:val="right"/>
            </w:pPr>
            <w:r>
              <w:rPr>
                <w:rFonts w:ascii="Calibri" w:hAnsi="Calibri"/>
                <w:b w:val="0"/>
                <w:i w:val="0"/>
                <w:color w:val="2B2F38"/>
                <w:sz w:val="18"/>
              </w:rPr>
              <w:t>6.00</w:t>
            </w:r>
          </w:p>
        </w:tc>
        <w:tc>
          <w:tcPr>
            <w:tcW w:type="dxa" w:w="1806"/>
            <w:shd w:val="clear" w:color="auto" w:fill="FFFFFF"/>
          </w:tcPr>
          <w:p>
            <w:pPr>
              <w:spacing w:after="20"/>
              <w:jc w:val="right"/>
            </w:pPr>
            <w:r>
              <w:rPr>
                <w:rFonts w:ascii="Calibri" w:hAnsi="Calibri"/>
                <w:b w:val="0"/>
                <w:i w:val="0"/>
                <w:color w:val="2B2F38"/>
                <w:sz w:val="18"/>
              </w:rPr>
              <w:t>2.40</w:t>
            </w:r>
          </w:p>
        </w:tc>
        <w:tc>
          <w:tcPr>
            <w:tcW w:type="dxa" w:w="1045"/>
            <w:shd w:val="clear" w:color="auto" w:fill="FFFFFF"/>
          </w:tcPr>
          <w:p>
            <w:pPr>
              <w:spacing w:after="20"/>
              <w:jc w:val="right"/>
            </w:pPr>
            <w:r>
              <w:rPr>
                <w:rFonts w:ascii="Calibri" w:hAnsi="Calibri"/>
                <w:b w:val="0"/>
                <w:i w:val="0"/>
                <w:color w:val="2B2F38"/>
                <w:sz w:val="18"/>
              </w:rPr>
              <w:t>0%</w:t>
            </w:r>
          </w:p>
        </w:tc>
      </w:tr>
      <w:tr>
        <w:tc>
          <w:tcPr>
            <w:tcW w:type="dxa" w:w="1901"/>
            <w:shd w:val="clear" w:color="auto" w:fill="F5F7F9"/>
          </w:tcPr>
          <w:p>
            <w:pPr>
              <w:spacing w:after="20"/>
            </w:pPr>
            <w:r>
              <w:rPr>
                <w:rFonts w:ascii="Calibri" w:hAnsi="Calibri"/>
                <w:b w:val="0"/>
                <w:i w:val="0"/>
                <w:color w:val="2B2F38"/>
                <w:sz w:val="18"/>
              </w:rPr>
              <w:t>Shreveport</w:t>
            </w:r>
          </w:p>
        </w:tc>
        <w:tc>
          <w:tcPr>
            <w:tcW w:type="dxa" w:w="1236"/>
            <w:shd w:val="clear" w:color="auto" w:fill="F5F7F9"/>
          </w:tcPr>
          <w:p>
            <w:pPr>
              <w:spacing w:after="20"/>
              <w:jc w:val="right"/>
            </w:pPr>
            <w:r>
              <w:rPr>
                <w:rFonts w:ascii="Calibri" w:hAnsi="Calibri"/>
                <w:b w:val="0"/>
                <w:i w:val="0"/>
                <w:color w:val="2B2F38"/>
                <w:sz w:val="18"/>
              </w:rPr>
              <w:t>4</w:t>
            </w:r>
          </w:p>
        </w:tc>
        <w:tc>
          <w:tcPr>
            <w:tcW w:type="dxa" w:w="1901"/>
            <w:shd w:val="clear" w:color="auto" w:fill="F5F7F9"/>
          </w:tcPr>
          <w:p>
            <w:pPr>
              <w:spacing w:after="20"/>
              <w:jc w:val="right"/>
            </w:pPr>
            <w:r>
              <w:rPr>
                <w:rFonts w:ascii="Calibri" w:hAnsi="Calibri"/>
                <w:b w:val="0"/>
                <w:i w:val="0"/>
                <w:color w:val="2B2F38"/>
                <w:sz w:val="18"/>
              </w:rPr>
              <w:t>4.00</w:t>
            </w:r>
          </w:p>
        </w:tc>
        <w:tc>
          <w:tcPr>
            <w:tcW w:type="dxa" w:w="1616"/>
            <w:shd w:val="clear" w:color="auto" w:fill="F5F7F9"/>
          </w:tcPr>
          <w:p>
            <w:pPr>
              <w:spacing w:after="20"/>
              <w:jc w:val="right"/>
            </w:pPr>
            <w:r>
              <w:rPr>
                <w:rFonts w:ascii="Calibri" w:hAnsi="Calibri"/>
                <w:b w:val="0"/>
                <w:i w:val="0"/>
                <w:color w:val="2B2F38"/>
                <w:sz w:val="18"/>
              </w:rPr>
              <w:t>6.00</w:t>
            </w:r>
          </w:p>
        </w:tc>
        <w:tc>
          <w:tcPr>
            <w:tcW w:type="dxa" w:w="1806"/>
            <w:shd w:val="clear" w:color="auto" w:fill="F5F7F9"/>
          </w:tcPr>
          <w:p>
            <w:pPr>
              <w:spacing w:after="20"/>
              <w:jc w:val="right"/>
            </w:pPr>
            <w:r>
              <w:rPr>
                <w:rFonts w:ascii="Calibri" w:hAnsi="Calibri"/>
                <w:b w:val="0"/>
                <w:i w:val="0"/>
                <w:color w:val="2B2F38"/>
                <w:sz w:val="18"/>
              </w:rPr>
              <w:t>2.25</w:t>
            </w:r>
          </w:p>
        </w:tc>
        <w:tc>
          <w:tcPr>
            <w:tcW w:type="dxa" w:w="1045"/>
            <w:shd w:val="clear" w:color="auto" w:fill="F5F7F9"/>
          </w:tcPr>
          <w:p>
            <w:pPr>
              <w:spacing w:after="20"/>
              <w:jc w:val="right"/>
            </w:pPr>
            <w:r>
              <w:rPr>
                <w:rFonts w:ascii="Calibri" w:hAnsi="Calibri"/>
                <w:b w:val="0"/>
                <w:i w:val="0"/>
                <w:color w:val="2B2F38"/>
                <w:sz w:val="18"/>
              </w:rPr>
              <w:t>0%</w:t>
            </w:r>
          </w:p>
        </w:tc>
      </w:tr>
      <w:tr>
        <w:tc>
          <w:tcPr>
            <w:tcW w:type="dxa" w:w="1901"/>
            <w:shd w:val="clear" w:color="auto" w:fill="FFFFFF"/>
          </w:tcPr>
          <w:p>
            <w:pPr>
              <w:spacing w:after="20"/>
            </w:pPr>
            <w:r>
              <w:rPr>
                <w:rFonts w:ascii="Calibri" w:hAnsi="Calibri"/>
                <w:b w:val="0"/>
                <w:i w:val="0"/>
                <w:color w:val="2B2F38"/>
                <w:sz w:val="18"/>
              </w:rPr>
              <w:t>Slidell</w:t>
            </w:r>
          </w:p>
        </w:tc>
        <w:tc>
          <w:tcPr>
            <w:tcW w:type="dxa" w:w="1236"/>
            <w:shd w:val="clear" w:color="auto" w:fill="FFFFFF"/>
          </w:tcPr>
          <w:p>
            <w:pPr>
              <w:spacing w:after="20"/>
              <w:jc w:val="right"/>
            </w:pPr>
            <w:r>
              <w:rPr>
                <w:rFonts w:ascii="Calibri" w:hAnsi="Calibri"/>
                <w:b w:val="0"/>
                <w:i w:val="0"/>
                <w:color w:val="2B2F38"/>
                <w:sz w:val="18"/>
              </w:rPr>
              <w:t>4</w:t>
            </w:r>
          </w:p>
        </w:tc>
        <w:tc>
          <w:tcPr>
            <w:tcW w:type="dxa" w:w="1901"/>
            <w:shd w:val="clear" w:color="auto" w:fill="FFFFFF"/>
          </w:tcPr>
          <w:p>
            <w:pPr>
              <w:spacing w:after="20"/>
              <w:jc w:val="right"/>
            </w:pPr>
            <w:r>
              <w:rPr>
                <w:rFonts w:ascii="Calibri" w:hAnsi="Calibri"/>
                <w:b w:val="0"/>
                <w:i w:val="0"/>
                <w:color w:val="2B2F38"/>
                <w:sz w:val="18"/>
              </w:rPr>
              <w:t>4.00</w:t>
            </w:r>
          </w:p>
        </w:tc>
        <w:tc>
          <w:tcPr>
            <w:tcW w:type="dxa" w:w="1616"/>
            <w:shd w:val="clear" w:color="auto" w:fill="FFFFFF"/>
          </w:tcPr>
          <w:p>
            <w:pPr>
              <w:spacing w:after="20"/>
              <w:jc w:val="right"/>
            </w:pPr>
            <w:r>
              <w:rPr>
                <w:rFonts w:ascii="Calibri" w:hAnsi="Calibri"/>
                <w:b w:val="0"/>
                <w:i w:val="0"/>
                <w:color w:val="2B2F38"/>
                <w:sz w:val="18"/>
              </w:rPr>
              <w:t>6.00</w:t>
            </w:r>
          </w:p>
        </w:tc>
        <w:tc>
          <w:tcPr>
            <w:tcW w:type="dxa" w:w="1806"/>
            <w:shd w:val="clear" w:color="auto" w:fill="FFFFFF"/>
          </w:tcPr>
          <w:p>
            <w:pPr>
              <w:spacing w:after="20"/>
              <w:jc w:val="right"/>
            </w:pPr>
            <w:r>
              <w:rPr>
                <w:rFonts w:ascii="Calibri" w:hAnsi="Calibri"/>
                <w:b w:val="0"/>
                <w:i w:val="0"/>
                <w:color w:val="2B2F38"/>
                <w:sz w:val="18"/>
              </w:rPr>
              <w:t>2.00</w:t>
            </w:r>
          </w:p>
        </w:tc>
        <w:tc>
          <w:tcPr>
            <w:tcW w:type="dxa" w:w="1045"/>
            <w:shd w:val="clear" w:color="auto" w:fill="FFFFFF"/>
          </w:tcPr>
          <w:p>
            <w:pPr>
              <w:spacing w:after="20"/>
              <w:jc w:val="right"/>
            </w:pPr>
            <w:r>
              <w:rPr>
                <w:rFonts w:ascii="Calibri" w:hAnsi="Calibri"/>
                <w:b w:val="0"/>
                <w:i w:val="0"/>
                <w:color w:val="2B2F38"/>
                <w:sz w:val="18"/>
              </w:rPr>
              <w:t>0%</w:t>
            </w:r>
          </w:p>
        </w:tc>
      </w:tr>
      <w:tr>
        <w:tc>
          <w:tcPr>
            <w:tcW w:type="dxa" w:w="1901"/>
            <w:shd w:val="clear" w:color="auto" w:fill="F5F7F9"/>
          </w:tcPr>
          <w:p>
            <w:pPr>
              <w:spacing w:after="20"/>
            </w:pPr>
            <w:r>
              <w:rPr>
                <w:rFonts w:ascii="Calibri" w:hAnsi="Calibri"/>
                <w:b w:val="0"/>
                <w:i w:val="0"/>
                <w:color w:val="2B2F38"/>
                <w:sz w:val="18"/>
              </w:rPr>
              <w:t>Monroe</w:t>
            </w:r>
          </w:p>
        </w:tc>
        <w:tc>
          <w:tcPr>
            <w:tcW w:type="dxa" w:w="1236"/>
            <w:shd w:val="clear" w:color="auto" w:fill="F5F7F9"/>
          </w:tcPr>
          <w:p>
            <w:pPr>
              <w:spacing w:after="20"/>
              <w:jc w:val="right"/>
            </w:pPr>
            <w:r>
              <w:rPr>
                <w:rFonts w:ascii="Calibri" w:hAnsi="Calibri"/>
                <w:b w:val="0"/>
                <w:i w:val="0"/>
                <w:color w:val="2B2F38"/>
                <w:sz w:val="18"/>
              </w:rPr>
              <w:t>3</w:t>
            </w:r>
          </w:p>
        </w:tc>
        <w:tc>
          <w:tcPr>
            <w:tcW w:type="dxa" w:w="1901"/>
            <w:shd w:val="clear" w:color="auto" w:fill="F5F7F9"/>
          </w:tcPr>
          <w:p>
            <w:pPr>
              <w:spacing w:after="20"/>
              <w:jc w:val="right"/>
            </w:pPr>
            <w:r>
              <w:rPr>
                <w:rFonts w:ascii="Calibri" w:hAnsi="Calibri"/>
                <w:b w:val="0"/>
                <w:i w:val="0"/>
                <w:color w:val="2B2F38"/>
                <w:sz w:val="18"/>
              </w:rPr>
              <w:t>4.00</w:t>
            </w:r>
          </w:p>
        </w:tc>
        <w:tc>
          <w:tcPr>
            <w:tcW w:type="dxa" w:w="1616"/>
            <w:shd w:val="clear" w:color="auto" w:fill="F5F7F9"/>
          </w:tcPr>
          <w:p>
            <w:pPr>
              <w:spacing w:after="20"/>
              <w:jc w:val="right"/>
            </w:pPr>
            <w:r>
              <w:rPr>
                <w:rFonts w:ascii="Calibri" w:hAnsi="Calibri"/>
                <w:b w:val="0"/>
                <w:i w:val="0"/>
                <w:color w:val="2B2F38"/>
                <w:sz w:val="18"/>
              </w:rPr>
              <w:t>6.00</w:t>
            </w:r>
          </w:p>
        </w:tc>
        <w:tc>
          <w:tcPr>
            <w:tcW w:type="dxa" w:w="1806"/>
            <w:shd w:val="clear" w:color="auto" w:fill="F5F7F9"/>
          </w:tcPr>
          <w:p>
            <w:pPr>
              <w:spacing w:after="20"/>
              <w:jc w:val="right"/>
            </w:pPr>
            <w:r>
              <w:rPr>
                <w:rFonts w:ascii="Calibri" w:hAnsi="Calibri"/>
                <w:b w:val="0"/>
                <w:i w:val="0"/>
                <w:color w:val="2B2F38"/>
                <w:sz w:val="18"/>
              </w:rPr>
              <w:t>2.00</w:t>
            </w:r>
          </w:p>
        </w:tc>
        <w:tc>
          <w:tcPr>
            <w:tcW w:type="dxa" w:w="1045"/>
            <w:shd w:val="clear" w:color="auto" w:fill="F5F7F9"/>
          </w:tcPr>
          <w:p>
            <w:pPr>
              <w:spacing w:after="20"/>
              <w:jc w:val="right"/>
            </w:pPr>
            <w:r>
              <w:rPr>
                <w:rFonts w:ascii="Calibri" w:hAnsi="Calibri"/>
                <w:b w:val="0"/>
                <w:i w:val="0"/>
                <w:color w:val="2B2F38"/>
                <w:sz w:val="18"/>
              </w:rPr>
              <w:t>0%</w:t>
            </w:r>
          </w:p>
        </w:tc>
      </w:tr>
      <w:tr>
        <w:tc>
          <w:tcPr>
            <w:tcW w:type="dxa" w:w="1901"/>
            <w:shd w:val="clear" w:color="auto" w:fill="FFFFFF"/>
          </w:tcPr>
          <w:p>
            <w:pPr>
              <w:spacing w:after="20"/>
            </w:pPr>
            <w:r>
              <w:rPr>
                <w:rFonts w:ascii="Calibri" w:hAnsi="Calibri"/>
                <w:b w:val="0"/>
                <w:i w:val="0"/>
                <w:color w:val="2B2F38"/>
                <w:sz w:val="18"/>
              </w:rPr>
              <w:t>Metairie</w:t>
            </w:r>
          </w:p>
        </w:tc>
        <w:tc>
          <w:tcPr>
            <w:tcW w:type="dxa" w:w="1236"/>
            <w:shd w:val="clear" w:color="auto" w:fill="FFFFFF"/>
          </w:tcPr>
          <w:p>
            <w:pPr>
              <w:spacing w:after="20"/>
              <w:jc w:val="right"/>
            </w:pPr>
            <w:r>
              <w:rPr>
                <w:rFonts w:ascii="Calibri" w:hAnsi="Calibri"/>
                <w:b w:val="0"/>
                <w:i w:val="0"/>
                <w:color w:val="2B2F38"/>
                <w:sz w:val="18"/>
              </w:rPr>
              <w:t>3</w:t>
            </w:r>
          </w:p>
        </w:tc>
        <w:tc>
          <w:tcPr>
            <w:tcW w:type="dxa" w:w="1901"/>
            <w:shd w:val="clear" w:color="auto" w:fill="FFFFFF"/>
          </w:tcPr>
          <w:p>
            <w:pPr>
              <w:spacing w:after="20"/>
              <w:jc w:val="right"/>
            </w:pPr>
            <w:r>
              <w:rPr>
                <w:rFonts w:ascii="Calibri" w:hAnsi="Calibri"/>
                <w:b w:val="0"/>
                <w:i w:val="0"/>
                <w:color w:val="2B2F38"/>
                <w:sz w:val="18"/>
              </w:rPr>
              <w:t>4.00</w:t>
            </w:r>
          </w:p>
        </w:tc>
        <w:tc>
          <w:tcPr>
            <w:tcW w:type="dxa" w:w="1616"/>
            <w:shd w:val="clear" w:color="auto" w:fill="FFFFFF"/>
          </w:tcPr>
          <w:p>
            <w:pPr>
              <w:spacing w:after="20"/>
              <w:jc w:val="right"/>
            </w:pPr>
            <w:r>
              <w:rPr>
                <w:rFonts w:ascii="Calibri" w:hAnsi="Calibri"/>
                <w:b w:val="0"/>
                <w:i w:val="0"/>
                <w:color w:val="2B2F38"/>
                <w:sz w:val="18"/>
              </w:rPr>
              <w:t>6.00</w:t>
            </w:r>
          </w:p>
        </w:tc>
        <w:tc>
          <w:tcPr>
            <w:tcW w:type="dxa" w:w="1806"/>
            <w:shd w:val="clear" w:color="auto" w:fill="FFFFFF"/>
          </w:tcPr>
          <w:p>
            <w:pPr>
              <w:spacing w:after="20"/>
              <w:jc w:val="right"/>
            </w:pPr>
            <w:r>
              <w:rPr>
                <w:rFonts w:ascii="Calibri" w:hAnsi="Calibri"/>
                <w:b w:val="0"/>
                <w:i w:val="0"/>
                <w:color w:val="2B2F38"/>
                <w:sz w:val="18"/>
              </w:rPr>
              <w:t>2.00</w:t>
            </w:r>
          </w:p>
        </w:tc>
        <w:tc>
          <w:tcPr>
            <w:tcW w:type="dxa" w:w="1045"/>
            <w:shd w:val="clear" w:color="auto" w:fill="FFFFFF"/>
          </w:tcPr>
          <w:p>
            <w:pPr>
              <w:spacing w:after="20"/>
              <w:jc w:val="right"/>
            </w:pPr>
            <w:r>
              <w:rPr>
                <w:rFonts w:ascii="Calibri" w:hAnsi="Calibri"/>
                <w:b w:val="0"/>
                <w:i w:val="0"/>
                <w:color w:val="2B2F38"/>
                <w:sz w:val="18"/>
              </w:rPr>
              <w:t>0%</w:t>
            </w:r>
          </w:p>
        </w:tc>
      </w:tr>
      <w:tr>
        <w:tc>
          <w:tcPr>
            <w:tcW w:type="dxa" w:w="1901"/>
            <w:shd w:val="clear" w:color="auto" w:fill="F5F7F9"/>
          </w:tcPr>
          <w:p>
            <w:pPr>
              <w:spacing w:after="20"/>
            </w:pPr>
            <w:r>
              <w:rPr>
                <w:rFonts w:ascii="Calibri" w:hAnsi="Calibri"/>
                <w:b w:val="0"/>
                <w:i w:val="0"/>
                <w:color w:val="2B2F38"/>
                <w:sz w:val="18"/>
              </w:rPr>
              <w:t>All other LA cities (10)</w:t>
            </w:r>
          </w:p>
        </w:tc>
        <w:tc>
          <w:tcPr>
            <w:tcW w:type="dxa" w:w="1236"/>
            <w:shd w:val="clear" w:color="auto" w:fill="F5F7F9"/>
          </w:tcPr>
          <w:p>
            <w:pPr>
              <w:spacing w:after="20"/>
              <w:jc w:val="right"/>
            </w:pPr>
            <w:r>
              <w:rPr>
                <w:rFonts w:ascii="Calibri" w:hAnsi="Calibri"/>
                <w:b w:val="0"/>
                <w:i w:val="0"/>
                <w:color w:val="2B2F38"/>
                <w:sz w:val="18"/>
              </w:rPr>
              <w:t>21</w:t>
            </w:r>
          </w:p>
        </w:tc>
        <w:tc>
          <w:tcPr>
            <w:tcW w:type="dxa" w:w="1901"/>
            <w:shd w:val="clear" w:color="auto" w:fill="F5F7F9"/>
          </w:tcPr>
          <w:p>
            <w:pPr>
              <w:spacing w:after="20"/>
              <w:jc w:val="right"/>
            </w:pPr>
            <w:r>
              <w:rPr>
                <w:rFonts w:ascii="Calibri" w:hAnsi="Calibri"/>
                <w:b w:val="0"/>
                <w:i w:val="0"/>
                <w:color w:val="2B2F38"/>
                <w:sz w:val="18"/>
              </w:rPr>
              <w:t>4.00</w:t>
            </w:r>
          </w:p>
        </w:tc>
        <w:tc>
          <w:tcPr>
            <w:tcW w:type="dxa" w:w="1616"/>
            <w:shd w:val="clear" w:color="auto" w:fill="F5F7F9"/>
          </w:tcPr>
          <w:p>
            <w:pPr>
              <w:spacing w:after="20"/>
              <w:jc w:val="right"/>
            </w:pPr>
            <w:r>
              <w:rPr>
                <w:rFonts w:ascii="Calibri" w:hAnsi="Calibri"/>
                <w:b w:val="0"/>
                <w:i w:val="0"/>
                <w:color w:val="2B2F38"/>
                <w:sz w:val="18"/>
              </w:rPr>
              <w:t>6.00</w:t>
            </w:r>
          </w:p>
        </w:tc>
        <w:tc>
          <w:tcPr>
            <w:tcW w:type="dxa" w:w="1806"/>
            <w:shd w:val="clear" w:color="auto" w:fill="F5F7F9"/>
          </w:tcPr>
          <w:p>
            <w:pPr>
              <w:spacing w:after="20"/>
              <w:jc w:val="right"/>
            </w:pPr>
            <w:r>
              <w:rPr>
                <w:rFonts w:ascii="Calibri" w:hAnsi="Calibri"/>
                <w:b w:val="0"/>
                <w:i w:val="0"/>
                <w:color w:val="2B2F38"/>
                <w:sz w:val="18"/>
              </w:rPr>
              <w:t>2.43</w:t>
            </w:r>
          </w:p>
        </w:tc>
        <w:tc>
          <w:tcPr>
            <w:tcW w:type="dxa" w:w="1045"/>
            <w:shd w:val="clear" w:color="auto" w:fill="F5F7F9"/>
          </w:tcPr>
          <w:p>
            <w:pPr>
              <w:spacing w:after="20"/>
              <w:jc w:val="right"/>
            </w:pPr>
            <w:r>
              <w:rPr>
                <w:rFonts w:ascii="Calibri" w:hAnsi="Calibri"/>
                <w:b w:val="0"/>
                <w:i w:val="0"/>
                <w:color w:val="2B2F38"/>
                <w:sz w:val="18"/>
              </w:rPr>
              <w:t>0%</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seed_walmart_endcap_audit_la, 62 audited stores.</w:t>
      </w:r>
    </w:p>
    <w:tbl>
      <w:tblPr>
        <w:tblW w:w="9504" w:type="dxa"/>
        <w:tblBorders>
          <w:top w:val="none"/>
          <w:left w:val="single" w:sz="24" w:color="B98A2E"/>
          <w:bottom w:val="none"/>
          <w:right w:val="none"/>
          <w:insideH w:val="none"/>
          <w:insideV w:val="none"/>
        </w:tblBorders>
        <w:tblLayout w:type="fixed"/>
        <w:tblCellMar>
          <w:top w:w="40" w:type="dxa"/>
          <w:left w:w="110" w:type="dxa"/>
          <w:bottom w:w="40" w:type="dxa"/>
          <w:right w:w="110" w:type="dxa"/>
        </w:tblCellMar>
        <w:tblLook w:firstColumn="1" w:firstRow="1" w:lastColumn="0" w:lastRow="0" w:noHBand="0" w:noVBand="1" w:val="04A0"/>
      </w:tblPr>
      <w:tblGrid>
        <w:gridCol w:w="9504"/>
      </w:tblGrid>
      <w:tr>
        <w:tc>
          <w:tcPr>
            <w:tcW w:type="dxa" w:w="9504"/>
            <w:shd w:val="clear" w:color="auto" w:fill="F5F7F9"/>
          </w:tcPr>
          <w:p>
            <w:pPr>
              <w:spacing w:after="40"/>
            </w:pPr>
            <w:r>
              <w:rPr>
                <w:rFonts w:ascii="Calibri" w:hAnsi="Calibri"/>
                <w:b/>
                <w:i w:val="0"/>
                <w:color w:val="1F2A44"/>
                <w:sz w:val="21"/>
              </w:rPr>
              <w:t>How we are framing the ask</w:t>
            </w:r>
          </w:p>
          <w:p>
            <w:pPr>
              <w:spacing w:after="40" w:line="274" w:lineRule="auto"/>
            </w:pPr>
            <w:r>
              <w:rPr>
                <w:rFonts w:ascii="Calibri" w:hAnsi="Calibri"/>
                <w:b w:val="0"/>
                <w:i w:val="0"/>
                <w:color w:val="2B2F38"/>
                <w:sz w:val="20"/>
              </w:rPr>
              <w:t>Louisiana RTE category dollars are down 2.8%. Restoring Mega facings and winning one endcap per supercenter rebuilds category dollars, not just Acme share. We take it in as a joint growth case, not as a supplier complaint (Report 77).</w:t>
            </w:r>
          </w:p>
        </w:tc>
      </w:tr>
    </w:tbl>
    <w:p>
      <w:pPr>
        <w:keepNext w:val="0"/>
        <w:spacing w:after="80" w:before="0" w:line="274" w:lineRule="auto"/>
      </w:pPr>
    </w:p>
    <w:p>
      <w:pPr>
        <w:keepNext/>
        <w:spacing w:after="40" w:before="240" w:line="274" w:lineRule="auto"/>
      </w:pPr>
      <w:r>
        <w:rPr>
          <w:rFonts w:ascii="Calibri" w:hAnsi="Calibri"/>
          <w:b/>
          <w:i w:val="0"/>
          <w:color w:val="2E7D75"/>
          <w:sz w:val="18"/>
        </w:rPr>
        <w:t>LEG TWO</w:t>
      </w:r>
    </w:p>
    <w:p>
      <w:pPr>
        <w:keepNext/>
        <w:spacing w:after="100" w:before="0" w:line="274" w:lineRule="auto"/>
      </w:pPr>
      <w:r>
        <w:rPr>
          <w:rFonts w:ascii="Calibri" w:hAnsi="Calibri"/>
          <w:b/>
          <w:i w:val="0"/>
          <w:color w:val="1F2A44"/>
          <w:sz w:val="31"/>
        </w:rPr>
        <w:t>3 · Availability — the fourteen doors</w:t>
      </w:r>
    </w:p>
    <w:p>
      <w:pPr>
        <w:keepNext w:val="0"/>
        <w:spacing w:after="120" w:before="0" w:line="274" w:lineRule="auto"/>
      </w:pPr>
      <w:r>
        <w:rPr>
          <w:rFonts w:ascii="Calibri" w:hAnsi="Calibri"/>
          <w:b w:val="0"/>
          <w:i w:val="0"/>
          <w:color w:val="2B2F38"/>
          <w:sz w:val="21"/>
        </w:rPr>
        <w:t>7 audited Rouses doors sit below 70% on-shelf availability on Crunchwell Original Mega, with up to 21 out-of-stock days in Q1 2026, months after warehouse fill recovered. Every one of those doors has a Larksfield endcap. Third-party merchandising for 12 weeks costs approximately $0.4M and is the fastest measurable intervention in this plan.</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041"/>
        <w:gridCol w:w="1901"/>
        <w:gridCol w:w="1331"/>
        <w:gridCol w:w="1711"/>
        <w:gridCol w:w="1521"/>
      </w:tblGrid>
      <w:tr>
        <w:tc>
          <w:tcPr>
            <w:tcW w:type="dxa" w:w="3041"/>
            <w:shd w:val="clear" w:color="auto" w:fill="1F2A44"/>
          </w:tcPr>
          <w:p>
            <w:pPr>
              <w:spacing w:after="20"/>
            </w:pPr>
            <w:r>
              <w:rPr>
                <w:rFonts w:ascii="Calibri" w:hAnsi="Calibri"/>
                <w:b/>
                <w:i w:val="0"/>
                <w:color w:val="FFFFFF"/>
                <w:sz w:val="17"/>
              </w:rPr>
              <w:t>SKU</w:t>
            </w:r>
          </w:p>
        </w:tc>
        <w:tc>
          <w:tcPr>
            <w:tcW w:type="dxa" w:w="1901"/>
            <w:shd w:val="clear" w:color="auto" w:fill="1F2A44"/>
          </w:tcPr>
          <w:p>
            <w:pPr>
              <w:spacing w:after="20"/>
              <w:jc w:val="right"/>
            </w:pPr>
            <w:r>
              <w:rPr>
                <w:rFonts w:ascii="Calibri" w:hAnsi="Calibri"/>
                <w:b/>
                <w:i w:val="0"/>
                <w:color w:val="FFFFFF"/>
                <w:sz w:val="17"/>
              </w:rPr>
              <w:t>City</w:t>
            </w:r>
          </w:p>
        </w:tc>
        <w:tc>
          <w:tcPr>
            <w:tcW w:type="dxa" w:w="1331"/>
            <w:shd w:val="clear" w:color="auto" w:fill="1F2A44"/>
          </w:tcPr>
          <w:p>
            <w:pPr>
              <w:spacing w:after="20"/>
              <w:jc w:val="right"/>
            </w:pPr>
            <w:r>
              <w:rPr>
                <w:rFonts w:ascii="Calibri" w:hAnsi="Calibri"/>
                <w:b/>
                <w:i w:val="0"/>
                <w:color w:val="FFFFFF"/>
                <w:sz w:val="17"/>
              </w:rPr>
              <w:t>OSA</w:t>
            </w:r>
          </w:p>
        </w:tc>
        <w:tc>
          <w:tcPr>
            <w:tcW w:type="dxa" w:w="1711"/>
            <w:shd w:val="clear" w:color="auto" w:fill="1F2A44"/>
          </w:tcPr>
          <w:p>
            <w:pPr>
              <w:spacing w:after="20"/>
              <w:jc w:val="right"/>
            </w:pPr>
            <w:r>
              <w:rPr>
                <w:rFonts w:ascii="Calibri" w:hAnsi="Calibri"/>
                <w:b/>
                <w:i w:val="0"/>
                <w:color w:val="FFFFFF"/>
                <w:sz w:val="17"/>
              </w:rPr>
              <w:t>Q1 OOS days</w:t>
            </w:r>
          </w:p>
        </w:tc>
        <w:tc>
          <w:tcPr>
            <w:tcW w:type="dxa" w:w="1521"/>
            <w:shd w:val="clear" w:color="auto" w:fill="1F2A44"/>
          </w:tcPr>
          <w:p>
            <w:pPr>
              <w:spacing w:after="20"/>
              <w:jc w:val="right"/>
            </w:pPr>
            <w:r>
              <w:rPr>
                <w:rFonts w:ascii="Calibri" w:hAnsi="Calibri"/>
                <w:b/>
                <w:i w:val="0"/>
                <w:color w:val="FFFFFF"/>
                <w:sz w:val="17"/>
              </w:rPr>
              <w:t>Promo response lift</w:t>
            </w:r>
          </w:p>
        </w:tc>
      </w:tr>
      <w:tr>
        <w:tc>
          <w:tcPr>
            <w:tcW w:type="dxa" w:w="3041"/>
            <w:shd w:val="clear" w:color="auto" w:fill="FFFFFF"/>
          </w:tcPr>
          <w:p>
            <w:pPr>
              <w:spacing w:after="20"/>
            </w:pPr>
            <w:r>
              <w:rPr>
                <w:rFonts w:ascii="Calibri" w:hAnsi="Calibri"/>
                <w:b w:val="0"/>
                <w:i w:val="0"/>
                <w:color w:val="2B2F38"/>
                <w:sz w:val="18"/>
              </w:rPr>
              <w:t>Crunchwell Original Mega</w:t>
            </w:r>
          </w:p>
        </w:tc>
        <w:tc>
          <w:tcPr>
            <w:tcW w:type="dxa" w:w="1901"/>
            <w:shd w:val="clear" w:color="auto" w:fill="FFFFFF"/>
          </w:tcPr>
          <w:p>
            <w:pPr>
              <w:spacing w:after="20"/>
              <w:jc w:val="right"/>
            </w:pPr>
            <w:r>
              <w:rPr>
                <w:rFonts w:ascii="Calibri" w:hAnsi="Calibri"/>
                <w:b w:val="0"/>
                <w:i w:val="0"/>
                <w:color w:val="2B2F38"/>
                <w:sz w:val="18"/>
              </w:rPr>
              <w:t>Baton Rouge</w:t>
            </w:r>
          </w:p>
        </w:tc>
        <w:tc>
          <w:tcPr>
            <w:tcW w:type="dxa" w:w="1331"/>
            <w:shd w:val="clear" w:color="auto" w:fill="FFFFFF"/>
          </w:tcPr>
          <w:p>
            <w:pPr>
              <w:spacing w:after="20"/>
              <w:jc w:val="right"/>
            </w:pPr>
            <w:r>
              <w:rPr>
                <w:rFonts w:ascii="Calibri" w:hAnsi="Calibri"/>
                <w:b w:val="0"/>
                <w:i w:val="0"/>
                <w:color w:val="2B2F38"/>
                <w:sz w:val="18"/>
              </w:rPr>
              <w:t>58%</w:t>
            </w:r>
          </w:p>
        </w:tc>
        <w:tc>
          <w:tcPr>
            <w:tcW w:type="dxa" w:w="1711"/>
            <w:shd w:val="clear" w:color="auto" w:fill="FFFFFF"/>
          </w:tcPr>
          <w:p>
            <w:pPr>
              <w:spacing w:after="20"/>
              <w:jc w:val="right"/>
            </w:pPr>
            <w:r>
              <w:rPr>
                <w:rFonts w:ascii="Calibri" w:hAnsi="Calibri"/>
                <w:b w:val="0"/>
                <w:i w:val="0"/>
                <w:color w:val="2B2F38"/>
                <w:sz w:val="18"/>
              </w:rPr>
              <w:t>21</w:t>
            </w:r>
          </w:p>
        </w:tc>
        <w:tc>
          <w:tcPr>
            <w:tcW w:type="dxa" w:w="1521"/>
            <w:shd w:val="clear" w:color="auto" w:fill="FFFFFF"/>
          </w:tcPr>
          <w:p>
            <w:pPr>
              <w:spacing w:after="20"/>
              <w:jc w:val="right"/>
            </w:pPr>
            <w:r>
              <w:rPr>
                <w:rFonts w:ascii="Calibri" w:hAnsi="Calibri"/>
                <w:b w:val="0"/>
                <w:i w:val="0"/>
                <w:color w:val="2B2F38"/>
                <w:sz w:val="18"/>
              </w:rPr>
              <w:t>10%</w:t>
            </w:r>
          </w:p>
        </w:tc>
      </w:tr>
      <w:tr>
        <w:tc>
          <w:tcPr>
            <w:tcW w:type="dxa" w:w="3041"/>
            <w:shd w:val="clear" w:color="auto" w:fill="F5F7F9"/>
          </w:tcPr>
          <w:p>
            <w:pPr>
              <w:spacing w:after="20"/>
            </w:pPr>
            <w:r>
              <w:rPr>
                <w:rFonts w:ascii="Calibri" w:hAnsi="Calibri"/>
                <w:b w:val="0"/>
                <w:i w:val="0"/>
                <w:color w:val="2B2F38"/>
                <w:sz w:val="18"/>
              </w:rPr>
              <w:t>Crunchwell Original Mega</w:t>
            </w:r>
          </w:p>
        </w:tc>
        <w:tc>
          <w:tcPr>
            <w:tcW w:type="dxa" w:w="1901"/>
            <w:shd w:val="clear" w:color="auto" w:fill="F5F7F9"/>
          </w:tcPr>
          <w:p>
            <w:pPr>
              <w:spacing w:after="20"/>
              <w:jc w:val="right"/>
            </w:pPr>
            <w:r>
              <w:rPr>
                <w:rFonts w:ascii="Calibri" w:hAnsi="Calibri"/>
                <w:b w:val="0"/>
                <w:i w:val="0"/>
                <w:color w:val="2B2F38"/>
                <w:sz w:val="18"/>
              </w:rPr>
              <w:t>Houma</w:t>
            </w:r>
          </w:p>
        </w:tc>
        <w:tc>
          <w:tcPr>
            <w:tcW w:type="dxa" w:w="1331"/>
            <w:shd w:val="clear" w:color="auto" w:fill="F5F7F9"/>
          </w:tcPr>
          <w:p>
            <w:pPr>
              <w:spacing w:after="20"/>
              <w:jc w:val="right"/>
            </w:pPr>
            <w:r>
              <w:rPr>
                <w:rFonts w:ascii="Calibri" w:hAnsi="Calibri"/>
                <w:b w:val="0"/>
                <w:i w:val="0"/>
                <w:color w:val="2B2F38"/>
                <w:sz w:val="18"/>
              </w:rPr>
              <w:t>60%</w:t>
            </w:r>
          </w:p>
        </w:tc>
        <w:tc>
          <w:tcPr>
            <w:tcW w:type="dxa" w:w="1711"/>
            <w:shd w:val="clear" w:color="auto" w:fill="F5F7F9"/>
          </w:tcPr>
          <w:p>
            <w:pPr>
              <w:spacing w:after="20"/>
              <w:jc w:val="right"/>
            </w:pPr>
            <w:r>
              <w:rPr>
                <w:rFonts w:ascii="Calibri" w:hAnsi="Calibri"/>
                <w:b w:val="0"/>
                <w:i w:val="0"/>
                <w:color w:val="2B2F38"/>
                <w:sz w:val="18"/>
              </w:rPr>
              <w:t>19</w:t>
            </w:r>
          </w:p>
        </w:tc>
        <w:tc>
          <w:tcPr>
            <w:tcW w:type="dxa" w:w="1521"/>
            <w:shd w:val="clear" w:color="auto" w:fill="F5F7F9"/>
          </w:tcPr>
          <w:p>
            <w:pPr>
              <w:spacing w:after="20"/>
              <w:jc w:val="right"/>
            </w:pPr>
            <w:r>
              <w:rPr>
                <w:rFonts w:ascii="Calibri" w:hAnsi="Calibri"/>
                <w:b w:val="0"/>
                <w:i w:val="0"/>
                <w:color w:val="2B2F38"/>
                <w:sz w:val="18"/>
              </w:rPr>
              <w:t>11%</w:t>
            </w:r>
          </w:p>
        </w:tc>
      </w:tr>
      <w:tr>
        <w:tc>
          <w:tcPr>
            <w:tcW w:type="dxa" w:w="3041"/>
            <w:shd w:val="clear" w:color="auto" w:fill="FFFFFF"/>
          </w:tcPr>
          <w:p>
            <w:pPr>
              <w:spacing w:after="20"/>
            </w:pPr>
            <w:r>
              <w:rPr>
                <w:rFonts w:ascii="Calibri" w:hAnsi="Calibri"/>
                <w:b w:val="0"/>
                <w:i w:val="0"/>
                <w:color w:val="2B2F38"/>
                <w:sz w:val="18"/>
              </w:rPr>
              <w:t>Crunchwell Original Mega</w:t>
            </w:r>
          </w:p>
        </w:tc>
        <w:tc>
          <w:tcPr>
            <w:tcW w:type="dxa" w:w="1901"/>
            <w:shd w:val="clear" w:color="auto" w:fill="FFFFFF"/>
          </w:tcPr>
          <w:p>
            <w:pPr>
              <w:spacing w:after="20"/>
              <w:jc w:val="right"/>
            </w:pPr>
            <w:r>
              <w:rPr>
                <w:rFonts w:ascii="Calibri" w:hAnsi="Calibri"/>
                <w:b w:val="0"/>
                <w:i w:val="0"/>
                <w:color w:val="2B2F38"/>
                <w:sz w:val="18"/>
              </w:rPr>
              <w:t>Thibodaux</w:t>
            </w:r>
          </w:p>
        </w:tc>
        <w:tc>
          <w:tcPr>
            <w:tcW w:type="dxa" w:w="1331"/>
            <w:shd w:val="clear" w:color="auto" w:fill="FFFFFF"/>
          </w:tcPr>
          <w:p>
            <w:pPr>
              <w:spacing w:after="20"/>
              <w:jc w:val="right"/>
            </w:pPr>
            <w:r>
              <w:rPr>
                <w:rFonts w:ascii="Calibri" w:hAnsi="Calibri"/>
                <w:b w:val="0"/>
                <w:i w:val="0"/>
                <w:color w:val="2B2F38"/>
                <w:sz w:val="18"/>
              </w:rPr>
              <w:t>62%</w:t>
            </w:r>
          </w:p>
        </w:tc>
        <w:tc>
          <w:tcPr>
            <w:tcW w:type="dxa" w:w="1711"/>
            <w:shd w:val="clear" w:color="auto" w:fill="FFFFFF"/>
          </w:tcPr>
          <w:p>
            <w:pPr>
              <w:spacing w:after="20"/>
              <w:jc w:val="right"/>
            </w:pPr>
            <w:r>
              <w:rPr>
                <w:rFonts w:ascii="Calibri" w:hAnsi="Calibri"/>
                <w:b w:val="0"/>
                <w:i w:val="0"/>
                <w:color w:val="2B2F38"/>
                <w:sz w:val="18"/>
              </w:rPr>
              <w:t>18</w:t>
            </w:r>
          </w:p>
        </w:tc>
        <w:tc>
          <w:tcPr>
            <w:tcW w:type="dxa" w:w="1521"/>
            <w:shd w:val="clear" w:color="auto" w:fill="FFFFFF"/>
          </w:tcPr>
          <w:p>
            <w:pPr>
              <w:spacing w:after="20"/>
              <w:jc w:val="right"/>
            </w:pPr>
            <w:r>
              <w:rPr>
                <w:rFonts w:ascii="Calibri" w:hAnsi="Calibri"/>
                <w:b w:val="0"/>
                <w:i w:val="0"/>
                <w:color w:val="2B2F38"/>
                <w:sz w:val="18"/>
              </w:rPr>
              <w:t>12%</w:t>
            </w:r>
          </w:p>
        </w:tc>
      </w:tr>
      <w:tr>
        <w:tc>
          <w:tcPr>
            <w:tcW w:type="dxa" w:w="3041"/>
            <w:shd w:val="clear" w:color="auto" w:fill="F5F7F9"/>
          </w:tcPr>
          <w:p>
            <w:pPr>
              <w:spacing w:after="20"/>
            </w:pPr>
            <w:r>
              <w:rPr>
                <w:rFonts w:ascii="Calibri" w:hAnsi="Calibri"/>
                <w:b w:val="0"/>
                <w:i w:val="0"/>
                <w:color w:val="2B2F38"/>
                <w:sz w:val="18"/>
              </w:rPr>
              <w:t>Crunchwell Original Mega</w:t>
            </w:r>
          </w:p>
        </w:tc>
        <w:tc>
          <w:tcPr>
            <w:tcW w:type="dxa" w:w="1901"/>
            <w:shd w:val="clear" w:color="auto" w:fill="F5F7F9"/>
          </w:tcPr>
          <w:p>
            <w:pPr>
              <w:spacing w:after="20"/>
              <w:jc w:val="right"/>
            </w:pPr>
            <w:r>
              <w:rPr>
                <w:rFonts w:ascii="Calibri" w:hAnsi="Calibri"/>
                <w:b w:val="0"/>
                <w:i w:val="0"/>
                <w:color w:val="2B2F38"/>
                <w:sz w:val="18"/>
              </w:rPr>
              <w:t>Baton Rouge</w:t>
            </w:r>
          </w:p>
        </w:tc>
        <w:tc>
          <w:tcPr>
            <w:tcW w:type="dxa" w:w="1331"/>
            <w:shd w:val="clear" w:color="auto" w:fill="F5F7F9"/>
          </w:tcPr>
          <w:p>
            <w:pPr>
              <w:spacing w:after="20"/>
              <w:jc w:val="right"/>
            </w:pPr>
            <w:r>
              <w:rPr>
                <w:rFonts w:ascii="Calibri" w:hAnsi="Calibri"/>
                <w:b w:val="0"/>
                <w:i w:val="0"/>
                <w:color w:val="2B2F38"/>
                <w:sz w:val="18"/>
              </w:rPr>
              <w:t>64%</w:t>
            </w:r>
          </w:p>
        </w:tc>
        <w:tc>
          <w:tcPr>
            <w:tcW w:type="dxa" w:w="1711"/>
            <w:shd w:val="clear" w:color="auto" w:fill="F5F7F9"/>
          </w:tcPr>
          <w:p>
            <w:pPr>
              <w:spacing w:after="20"/>
              <w:jc w:val="right"/>
            </w:pPr>
            <w:r>
              <w:rPr>
                <w:rFonts w:ascii="Calibri" w:hAnsi="Calibri"/>
                <w:b w:val="0"/>
                <w:i w:val="0"/>
                <w:color w:val="2B2F38"/>
                <w:sz w:val="18"/>
              </w:rPr>
              <w:t>16</w:t>
            </w:r>
          </w:p>
        </w:tc>
        <w:tc>
          <w:tcPr>
            <w:tcW w:type="dxa" w:w="1521"/>
            <w:shd w:val="clear" w:color="auto" w:fill="F5F7F9"/>
          </w:tcPr>
          <w:p>
            <w:pPr>
              <w:spacing w:after="20"/>
              <w:jc w:val="right"/>
            </w:pPr>
            <w:r>
              <w:rPr>
                <w:rFonts w:ascii="Calibri" w:hAnsi="Calibri"/>
                <w:b w:val="0"/>
                <w:i w:val="0"/>
                <w:color w:val="2B2F38"/>
                <w:sz w:val="18"/>
              </w:rPr>
              <w:t>11%</w:t>
            </w:r>
          </w:p>
        </w:tc>
      </w:tr>
      <w:tr>
        <w:tc>
          <w:tcPr>
            <w:tcW w:type="dxa" w:w="3041"/>
            <w:shd w:val="clear" w:color="auto" w:fill="FFFFFF"/>
          </w:tcPr>
          <w:p>
            <w:pPr>
              <w:spacing w:after="20"/>
            </w:pPr>
            <w:r>
              <w:rPr>
                <w:rFonts w:ascii="Calibri" w:hAnsi="Calibri"/>
                <w:b w:val="0"/>
                <w:i w:val="0"/>
                <w:color w:val="2B2F38"/>
                <w:sz w:val="18"/>
              </w:rPr>
              <w:t>Crunchwell Original Mega</w:t>
            </w:r>
          </w:p>
        </w:tc>
        <w:tc>
          <w:tcPr>
            <w:tcW w:type="dxa" w:w="1901"/>
            <w:shd w:val="clear" w:color="auto" w:fill="FFFFFF"/>
          </w:tcPr>
          <w:p>
            <w:pPr>
              <w:spacing w:after="20"/>
              <w:jc w:val="right"/>
            </w:pPr>
            <w:r>
              <w:rPr>
                <w:rFonts w:ascii="Calibri" w:hAnsi="Calibri"/>
                <w:b w:val="0"/>
                <w:i w:val="0"/>
                <w:color w:val="2B2F38"/>
                <w:sz w:val="18"/>
              </w:rPr>
              <w:t>Metairie</w:t>
            </w:r>
          </w:p>
        </w:tc>
        <w:tc>
          <w:tcPr>
            <w:tcW w:type="dxa" w:w="1331"/>
            <w:shd w:val="clear" w:color="auto" w:fill="FFFFFF"/>
          </w:tcPr>
          <w:p>
            <w:pPr>
              <w:spacing w:after="20"/>
              <w:jc w:val="right"/>
            </w:pPr>
            <w:r>
              <w:rPr>
                <w:rFonts w:ascii="Calibri" w:hAnsi="Calibri"/>
                <w:b w:val="0"/>
                <w:i w:val="0"/>
                <w:color w:val="2B2F38"/>
                <w:sz w:val="18"/>
              </w:rPr>
              <w:t>66%</w:t>
            </w:r>
          </w:p>
        </w:tc>
        <w:tc>
          <w:tcPr>
            <w:tcW w:type="dxa" w:w="1711"/>
            <w:shd w:val="clear" w:color="auto" w:fill="FFFFFF"/>
          </w:tcPr>
          <w:p>
            <w:pPr>
              <w:spacing w:after="20"/>
              <w:jc w:val="right"/>
            </w:pPr>
            <w:r>
              <w:rPr>
                <w:rFonts w:ascii="Calibri" w:hAnsi="Calibri"/>
                <w:b w:val="0"/>
                <w:i w:val="0"/>
                <w:color w:val="2B2F38"/>
                <w:sz w:val="18"/>
              </w:rPr>
              <w:t>15</w:t>
            </w:r>
          </w:p>
        </w:tc>
        <w:tc>
          <w:tcPr>
            <w:tcW w:type="dxa" w:w="1521"/>
            <w:shd w:val="clear" w:color="auto" w:fill="FFFFFF"/>
          </w:tcPr>
          <w:p>
            <w:pPr>
              <w:spacing w:after="20"/>
              <w:jc w:val="right"/>
            </w:pPr>
            <w:r>
              <w:rPr>
                <w:rFonts w:ascii="Calibri" w:hAnsi="Calibri"/>
                <w:b w:val="0"/>
                <w:i w:val="0"/>
                <w:color w:val="2B2F38"/>
                <w:sz w:val="18"/>
              </w:rPr>
              <w:t>13%</w:t>
            </w:r>
          </w:p>
        </w:tc>
      </w:tr>
      <w:tr>
        <w:tc>
          <w:tcPr>
            <w:tcW w:type="dxa" w:w="3041"/>
            <w:shd w:val="clear" w:color="auto" w:fill="F5F7F9"/>
          </w:tcPr>
          <w:p>
            <w:pPr>
              <w:spacing w:after="20"/>
            </w:pPr>
            <w:r>
              <w:rPr>
                <w:rFonts w:ascii="Calibri" w:hAnsi="Calibri"/>
                <w:b w:val="0"/>
                <w:i w:val="0"/>
                <w:color w:val="2B2F38"/>
                <w:sz w:val="18"/>
              </w:rPr>
              <w:t>Crunchwell Original Mega</w:t>
            </w:r>
          </w:p>
        </w:tc>
        <w:tc>
          <w:tcPr>
            <w:tcW w:type="dxa" w:w="1901"/>
            <w:shd w:val="clear" w:color="auto" w:fill="F5F7F9"/>
          </w:tcPr>
          <w:p>
            <w:pPr>
              <w:spacing w:after="20"/>
              <w:jc w:val="right"/>
            </w:pPr>
            <w:r>
              <w:rPr>
                <w:rFonts w:ascii="Calibri" w:hAnsi="Calibri"/>
                <w:b w:val="0"/>
                <w:i w:val="0"/>
                <w:color w:val="2B2F38"/>
                <w:sz w:val="18"/>
              </w:rPr>
              <w:t>Slidell</w:t>
            </w:r>
          </w:p>
        </w:tc>
        <w:tc>
          <w:tcPr>
            <w:tcW w:type="dxa" w:w="1331"/>
            <w:shd w:val="clear" w:color="auto" w:fill="F5F7F9"/>
          </w:tcPr>
          <w:p>
            <w:pPr>
              <w:spacing w:after="20"/>
              <w:jc w:val="right"/>
            </w:pPr>
            <w:r>
              <w:rPr>
                <w:rFonts w:ascii="Calibri" w:hAnsi="Calibri"/>
                <w:b w:val="0"/>
                <w:i w:val="0"/>
                <w:color w:val="2B2F38"/>
                <w:sz w:val="18"/>
              </w:rPr>
              <w:t>67%</w:t>
            </w:r>
          </w:p>
        </w:tc>
        <w:tc>
          <w:tcPr>
            <w:tcW w:type="dxa" w:w="1711"/>
            <w:shd w:val="clear" w:color="auto" w:fill="F5F7F9"/>
          </w:tcPr>
          <w:p>
            <w:pPr>
              <w:spacing w:after="20"/>
              <w:jc w:val="right"/>
            </w:pPr>
            <w:r>
              <w:rPr>
                <w:rFonts w:ascii="Calibri" w:hAnsi="Calibri"/>
                <w:b w:val="0"/>
                <w:i w:val="0"/>
                <w:color w:val="2B2F38"/>
                <w:sz w:val="18"/>
              </w:rPr>
              <w:t>14</w:t>
            </w:r>
          </w:p>
        </w:tc>
        <w:tc>
          <w:tcPr>
            <w:tcW w:type="dxa" w:w="1521"/>
            <w:shd w:val="clear" w:color="auto" w:fill="F5F7F9"/>
          </w:tcPr>
          <w:p>
            <w:pPr>
              <w:spacing w:after="20"/>
              <w:jc w:val="right"/>
            </w:pPr>
            <w:r>
              <w:rPr>
                <w:rFonts w:ascii="Calibri" w:hAnsi="Calibri"/>
                <w:b w:val="0"/>
                <w:i w:val="0"/>
                <w:color w:val="2B2F38"/>
                <w:sz w:val="18"/>
              </w:rPr>
              <w:t>13%</w:t>
            </w:r>
          </w:p>
        </w:tc>
      </w:tr>
      <w:tr>
        <w:tc>
          <w:tcPr>
            <w:tcW w:type="dxa" w:w="3041"/>
            <w:shd w:val="clear" w:color="auto" w:fill="FFFFFF"/>
          </w:tcPr>
          <w:p>
            <w:pPr>
              <w:spacing w:after="20"/>
            </w:pPr>
            <w:r>
              <w:rPr>
                <w:rFonts w:ascii="Calibri" w:hAnsi="Calibri"/>
                <w:b w:val="0"/>
                <w:i w:val="0"/>
                <w:color w:val="2B2F38"/>
                <w:sz w:val="18"/>
              </w:rPr>
              <w:t>Crunchwell Original Mega</w:t>
            </w:r>
          </w:p>
        </w:tc>
        <w:tc>
          <w:tcPr>
            <w:tcW w:type="dxa" w:w="1901"/>
            <w:shd w:val="clear" w:color="auto" w:fill="FFFFFF"/>
          </w:tcPr>
          <w:p>
            <w:pPr>
              <w:spacing w:after="20"/>
              <w:jc w:val="right"/>
            </w:pPr>
            <w:r>
              <w:rPr>
                <w:rFonts w:ascii="Calibri" w:hAnsi="Calibri"/>
                <w:b w:val="0"/>
                <w:i w:val="0"/>
                <w:color w:val="2B2F38"/>
                <w:sz w:val="18"/>
              </w:rPr>
              <w:t>Lafayette</w:t>
            </w:r>
          </w:p>
        </w:tc>
        <w:tc>
          <w:tcPr>
            <w:tcW w:type="dxa" w:w="1331"/>
            <w:shd w:val="clear" w:color="auto" w:fill="FFFFFF"/>
          </w:tcPr>
          <w:p>
            <w:pPr>
              <w:spacing w:after="20"/>
              <w:jc w:val="right"/>
            </w:pPr>
            <w:r>
              <w:rPr>
                <w:rFonts w:ascii="Calibri" w:hAnsi="Calibri"/>
                <w:b w:val="0"/>
                <w:i w:val="0"/>
                <w:color w:val="2B2F38"/>
                <w:sz w:val="18"/>
              </w:rPr>
              <w:t>69%</w:t>
            </w:r>
          </w:p>
        </w:tc>
        <w:tc>
          <w:tcPr>
            <w:tcW w:type="dxa" w:w="1711"/>
            <w:shd w:val="clear" w:color="auto" w:fill="FFFFFF"/>
          </w:tcPr>
          <w:p>
            <w:pPr>
              <w:spacing w:after="20"/>
              <w:jc w:val="right"/>
            </w:pPr>
            <w:r>
              <w:rPr>
                <w:rFonts w:ascii="Calibri" w:hAnsi="Calibri"/>
                <w:b w:val="0"/>
                <w:i w:val="0"/>
                <w:color w:val="2B2F38"/>
                <w:sz w:val="18"/>
              </w:rPr>
              <w:t>12</w:t>
            </w:r>
          </w:p>
        </w:tc>
        <w:tc>
          <w:tcPr>
            <w:tcW w:type="dxa" w:w="1521"/>
            <w:shd w:val="clear" w:color="auto" w:fill="FFFFFF"/>
          </w:tcPr>
          <w:p>
            <w:pPr>
              <w:spacing w:after="20"/>
              <w:jc w:val="right"/>
            </w:pPr>
            <w:r>
              <w:rPr>
                <w:rFonts w:ascii="Calibri" w:hAnsi="Calibri"/>
                <w:b w:val="0"/>
                <w:i w:val="0"/>
                <w:color w:val="2B2F38"/>
                <w:sz w:val="18"/>
              </w:rPr>
              <w:t>14%</w:t>
            </w:r>
          </w:p>
        </w:tc>
      </w:tr>
      <w:tr>
        <w:tc>
          <w:tcPr>
            <w:tcW w:type="dxa" w:w="3041"/>
            <w:shd w:val="clear" w:color="auto" w:fill="F5F7F9"/>
          </w:tcPr>
          <w:p>
            <w:pPr>
              <w:spacing w:after="20"/>
            </w:pPr>
            <w:r>
              <w:rPr>
                <w:rFonts w:ascii="Calibri" w:hAnsi="Calibri"/>
                <w:b w:val="0"/>
                <w:i w:val="0"/>
                <w:color w:val="2B2F38"/>
                <w:sz w:val="18"/>
              </w:rPr>
              <w:t>Crunchwell Original Mega</w:t>
            </w:r>
          </w:p>
        </w:tc>
        <w:tc>
          <w:tcPr>
            <w:tcW w:type="dxa" w:w="1901"/>
            <w:shd w:val="clear" w:color="auto" w:fill="F5F7F9"/>
          </w:tcPr>
          <w:p>
            <w:pPr>
              <w:spacing w:after="20"/>
              <w:jc w:val="right"/>
            </w:pPr>
            <w:r>
              <w:rPr>
                <w:rFonts w:ascii="Calibri" w:hAnsi="Calibri"/>
                <w:b w:val="0"/>
                <w:i w:val="0"/>
                <w:color w:val="2B2F38"/>
                <w:sz w:val="18"/>
              </w:rPr>
              <w:t>New Orleans</w:t>
            </w:r>
          </w:p>
        </w:tc>
        <w:tc>
          <w:tcPr>
            <w:tcW w:type="dxa" w:w="1331"/>
            <w:shd w:val="clear" w:color="auto" w:fill="F5F7F9"/>
          </w:tcPr>
          <w:p>
            <w:pPr>
              <w:spacing w:after="20"/>
              <w:jc w:val="right"/>
            </w:pPr>
            <w:r>
              <w:rPr>
                <w:rFonts w:ascii="Calibri" w:hAnsi="Calibri"/>
                <w:b w:val="0"/>
                <w:i w:val="0"/>
                <w:color w:val="2B2F38"/>
                <w:sz w:val="18"/>
              </w:rPr>
              <w:t>71%</w:t>
            </w:r>
          </w:p>
        </w:tc>
        <w:tc>
          <w:tcPr>
            <w:tcW w:type="dxa" w:w="1711"/>
            <w:shd w:val="clear" w:color="auto" w:fill="F5F7F9"/>
          </w:tcPr>
          <w:p>
            <w:pPr>
              <w:spacing w:after="20"/>
              <w:jc w:val="right"/>
            </w:pPr>
            <w:r>
              <w:rPr>
                <w:rFonts w:ascii="Calibri" w:hAnsi="Calibri"/>
                <w:b w:val="0"/>
                <w:i w:val="0"/>
                <w:color w:val="2B2F38"/>
                <w:sz w:val="18"/>
              </w:rPr>
              <w:t>11</w:t>
            </w:r>
          </w:p>
        </w:tc>
        <w:tc>
          <w:tcPr>
            <w:tcW w:type="dxa" w:w="1521"/>
            <w:shd w:val="clear" w:color="auto" w:fill="F5F7F9"/>
          </w:tcPr>
          <w:p>
            <w:pPr>
              <w:spacing w:after="20"/>
              <w:jc w:val="right"/>
            </w:pPr>
            <w:r>
              <w:rPr>
                <w:rFonts w:ascii="Calibri" w:hAnsi="Calibri"/>
                <w:b w:val="0"/>
                <w:i w:val="0"/>
                <w:color w:val="2B2F38"/>
                <w:sz w:val="18"/>
              </w:rPr>
              <w:t>15%</w:t>
            </w:r>
          </w:p>
        </w:tc>
      </w:tr>
      <w:tr>
        <w:tc>
          <w:tcPr>
            <w:tcW w:type="dxa" w:w="3041"/>
            <w:shd w:val="clear" w:color="auto" w:fill="FFFFFF"/>
          </w:tcPr>
          <w:p>
            <w:pPr>
              <w:spacing w:after="20"/>
            </w:pPr>
            <w:r>
              <w:rPr>
                <w:rFonts w:ascii="Calibri" w:hAnsi="Calibri"/>
                <w:b w:val="0"/>
                <w:i w:val="0"/>
                <w:color w:val="2B2F38"/>
                <w:sz w:val="18"/>
              </w:rPr>
              <w:t>Crunchwell Original Mega</w:t>
            </w:r>
          </w:p>
        </w:tc>
        <w:tc>
          <w:tcPr>
            <w:tcW w:type="dxa" w:w="1901"/>
            <w:shd w:val="clear" w:color="auto" w:fill="FFFFFF"/>
          </w:tcPr>
          <w:p>
            <w:pPr>
              <w:spacing w:after="20"/>
              <w:jc w:val="right"/>
            </w:pPr>
            <w:r>
              <w:rPr>
                <w:rFonts w:ascii="Calibri" w:hAnsi="Calibri"/>
                <w:b w:val="0"/>
                <w:i w:val="0"/>
                <w:color w:val="2B2F38"/>
                <w:sz w:val="18"/>
              </w:rPr>
              <w:t>Rouses-LA-Total</w:t>
            </w:r>
          </w:p>
        </w:tc>
        <w:tc>
          <w:tcPr>
            <w:tcW w:type="dxa" w:w="1331"/>
            <w:shd w:val="clear" w:color="auto" w:fill="FFFFFF"/>
          </w:tcPr>
          <w:p>
            <w:pPr>
              <w:spacing w:after="20"/>
              <w:jc w:val="right"/>
            </w:pPr>
            <w:r>
              <w:rPr>
                <w:rFonts w:ascii="Calibri" w:hAnsi="Calibri"/>
                <w:b w:val="0"/>
                <w:i w:val="0"/>
                <w:color w:val="2B2F38"/>
                <w:sz w:val="18"/>
              </w:rPr>
              <w:t>73%</w:t>
            </w:r>
          </w:p>
        </w:tc>
        <w:tc>
          <w:tcPr>
            <w:tcW w:type="dxa" w:w="1711"/>
            <w:shd w:val="clear" w:color="auto" w:fill="FFFFFF"/>
          </w:tcPr>
          <w:p>
            <w:pPr>
              <w:spacing w:after="20"/>
              <w:jc w:val="right"/>
            </w:pPr>
            <w:r>
              <w:rPr>
                <w:rFonts w:ascii="Calibri" w:hAnsi="Calibri"/>
                <w:b w:val="0"/>
                <w:i w:val="0"/>
                <w:color w:val="2B2F38"/>
                <w:sz w:val="18"/>
              </w:rPr>
              <w:t>11</w:t>
            </w:r>
          </w:p>
        </w:tc>
        <w:tc>
          <w:tcPr>
            <w:tcW w:type="dxa" w:w="1521"/>
            <w:shd w:val="clear" w:color="auto" w:fill="FFFFFF"/>
          </w:tcPr>
          <w:p>
            <w:pPr>
              <w:spacing w:after="20"/>
              <w:jc w:val="right"/>
            </w:pPr>
            <w:r>
              <w:rPr>
                <w:rFonts w:ascii="Calibri" w:hAnsi="Calibri"/>
                <w:b w:val="0"/>
                <w:i w:val="0"/>
                <w:color w:val="2B2F38"/>
                <w:sz w:val="18"/>
              </w:rPr>
              <w:t>15%</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seed_rouses_oos_by_door.</w:t>
      </w:r>
    </w:p>
    <w:p>
      <w:pPr>
        <w:keepNext/>
        <w:spacing w:after="40" w:before="240" w:line="274" w:lineRule="auto"/>
      </w:pPr>
      <w:r>
        <w:rPr>
          <w:rFonts w:ascii="Calibri" w:hAnsi="Calibri"/>
          <w:b/>
          <w:i w:val="0"/>
          <w:color w:val="2E7D75"/>
          <w:sz w:val="18"/>
        </w:rPr>
        <w:t>LEG THREE</w:t>
      </w:r>
    </w:p>
    <w:p>
      <w:pPr>
        <w:keepNext/>
        <w:spacing w:after="100" w:before="0" w:line="274" w:lineRule="auto"/>
      </w:pPr>
      <w:r>
        <w:rPr>
          <w:rFonts w:ascii="Calibri" w:hAnsi="Calibri"/>
          <w:b/>
          <w:i w:val="0"/>
          <w:color w:val="1F2A44"/>
          <w:sz w:val="31"/>
        </w:rPr>
        <w:t>4 · Demand — and why it comes last</w:t>
      </w:r>
    </w:p>
    <w:p>
      <w:pPr>
        <w:keepNext w:val="0"/>
        <w:spacing w:after="120" w:before="0" w:line="274" w:lineRule="auto"/>
      </w:pPr>
      <w:r>
        <w:rPr>
          <w:rFonts w:ascii="Calibri" w:hAnsi="Calibri"/>
          <w:b w:val="0"/>
          <w:i w:val="0"/>
          <w:color w:val="2B2F38"/>
          <w:sz w:val="21"/>
        </w:rPr>
        <w:t>The Louisiana retail-media injection returns approximately 2.2 times the portfolio ROI, which makes it the most efficient media money available to us. It is nonetheless the third leg, because driving trips to a shelf that is 60% in stock converts our media spend into Larksfield's endcap sales. The media flight starts once the merchandising programme is in place, which is week three of the plan.</w:t>
      </w:r>
    </w:p>
    <w:p>
      <w:pPr>
        <w:keepNext w:val="0"/>
        <w:spacing w:after="120" w:before="0" w:line="274" w:lineRule="auto"/>
      </w:pPr>
      <w:r>
        <w:rPr>
          <w:rFonts w:ascii="Calibri" w:hAnsi="Calibri"/>
          <w:b w:val="0"/>
          <w:i w:val="0"/>
          <w:color w:val="2B2F38"/>
          <w:sz w:val="21"/>
        </w:rPr>
        <w:t>Trade support at Rouses is targeted and depth-capped at 20% per the RGM policy (Report 64). We are not buying share back with depth; the elasticity data says that erodes the reference price and makes the next recovery harder.</w:t>
      </w:r>
    </w:p>
    <w:p>
      <w:pPr>
        <w:keepNext/>
        <w:spacing w:after="40" w:before="240" w:line="274" w:lineRule="auto"/>
      </w:pPr>
      <w:r>
        <w:rPr>
          <w:rFonts w:ascii="Calibri" w:hAnsi="Calibri"/>
          <w:b/>
          <w:i w:val="0"/>
          <w:color w:val="2E7D75"/>
          <w:sz w:val="18"/>
        </w:rPr>
        <w:t>SCHEDULE</w:t>
      </w:r>
    </w:p>
    <w:p>
      <w:pPr>
        <w:keepNext/>
        <w:spacing w:after="100" w:before="0" w:line="274" w:lineRule="auto"/>
      </w:pPr>
      <w:r>
        <w:rPr>
          <w:rFonts w:ascii="Calibri" w:hAnsi="Calibri"/>
          <w:b/>
          <w:i w:val="0"/>
          <w:color w:val="1F2A44"/>
          <w:sz w:val="31"/>
        </w:rPr>
        <w:t>5 · Week by week</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1140"/>
        <w:gridCol w:w="5132"/>
        <w:gridCol w:w="3231"/>
      </w:tblGrid>
      <w:tr>
        <w:tc>
          <w:tcPr>
            <w:tcW w:type="dxa" w:w="1140"/>
            <w:shd w:val="clear" w:color="auto" w:fill="1F2A44"/>
          </w:tcPr>
          <w:p>
            <w:pPr>
              <w:spacing w:after="20"/>
            </w:pPr>
            <w:r>
              <w:rPr>
                <w:rFonts w:ascii="Calibri" w:hAnsi="Calibri"/>
                <w:b/>
                <w:i w:val="0"/>
                <w:color w:val="FFFFFF"/>
                <w:sz w:val="17"/>
              </w:rPr>
              <w:t>Weeks</w:t>
            </w:r>
          </w:p>
        </w:tc>
        <w:tc>
          <w:tcPr>
            <w:tcW w:type="dxa" w:w="5132"/>
            <w:shd w:val="clear" w:color="auto" w:fill="1F2A44"/>
          </w:tcPr>
          <w:p>
            <w:pPr>
              <w:spacing w:after="20"/>
            </w:pPr>
            <w:r>
              <w:rPr>
                <w:rFonts w:ascii="Calibri" w:hAnsi="Calibri"/>
                <w:b/>
                <w:i w:val="0"/>
                <w:color w:val="FFFFFF"/>
                <w:sz w:val="17"/>
              </w:rPr>
              <w:t>What happens</w:t>
            </w:r>
          </w:p>
        </w:tc>
        <w:tc>
          <w:tcPr>
            <w:tcW w:type="dxa" w:w="3231"/>
            <w:shd w:val="clear" w:color="auto" w:fill="1F2A44"/>
          </w:tcPr>
          <w:p>
            <w:pPr>
              <w:spacing w:after="20"/>
            </w:pPr>
            <w:r>
              <w:rPr>
                <w:rFonts w:ascii="Calibri" w:hAnsi="Calibri"/>
                <w:b/>
                <w:i w:val="0"/>
                <w:color w:val="FFFFFF"/>
                <w:sz w:val="17"/>
              </w:rPr>
              <w:t>Owner</w:t>
            </w:r>
          </w:p>
        </w:tc>
      </w:tr>
      <w:tr>
        <w:tc>
          <w:tcPr>
            <w:tcW w:type="dxa" w:w="1140"/>
            <w:shd w:val="clear" w:color="auto" w:fill="FFFFFF"/>
          </w:tcPr>
          <w:p>
            <w:pPr>
              <w:spacing w:after="20"/>
            </w:pPr>
            <w:r>
              <w:rPr>
                <w:rFonts w:ascii="Calibri" w:hAnsi="Calibri"/>
                <w:b w:val="0"/>
                <w:i w:val="0"/>
                <w:color w:val="2B2F38"/>
                <w:sz w:val="18"/>
              </w:rPr>
              <w:t>1–2</w:t>
            </w:r>
          </w:p>
        </w:tc>
        <w:tc>
          <w:tcPr>
            <w:tcW w:type="dxa" w:w="5132"/>
            <w:shd w:val="clear" w:color="auto" w:fill="FFFFFF"/>
          </w:tcPr>
          <w:p>
            <w:pPr>
              <w:spacing w:after="20"/>
            </w:pPr>
            <w:r>
              <w:rPr>
                <w:rFonts w:ascii="Calibri" w:hAnsi="Calibri"/>
                <w:b w:val="0"/>
                <w:i w:val="0"/>
                <w:color w:val="2B2F38"/>
                <w:sz w:val="18"/>
              </w:rPr>
              <w:t>Merchandising contracts signed; door list confirmed; line-review pack built</w:t>
            </w:r>
          </w:p>
        </w:tc>
        <w:tc>
          <w:tcPr>
            <w:tcW w:type="dxa" w:w="3231"/>
            <w:shd w:val="clear" w:color="auto" w:fill="FFFFFF"/>
          </w:tcPr>
          <w:p>
            <w:pPr>
              <w:spacing w:after="20"/>
            </w:pPr>
            <w:r>
              <w:rPr>
                <w:rFonts w:ascii="Calibri" w:hAnsi="Calibri"/>
                <w:b w:val="0"/>
                <w:i w:val="0"/>
                <w:color w:val="2B2F38"/>
                <w:sz w:val="18"/>
              </w:rPr>
              <w:t>Customer Logistics / Marcus Boudreaux</w:t>
            </w:r>
          </w:p>
        </w:tc>
      </w:tr>
      <w:tr>
        <w:tc>
          <w:tcPr>
            <w:tcW w:type="dxa" w:w="1140"/>
            <w:shd w:val="clear" w:color="auto" w:fill="F5F7F9"/>
          </w:tcPr>
          <w:p>
            <w:pPr>
              <w:spacing w:after="20"/>
            </w:pPr>
            <w:r>
              <w:rPr>
                <w:rFonts w:ascii="Calibri" w:hAnsi="Calibri"/>
                <w:b w:val="0"/>
                <w:i w:val="0"/>
                <w:color w:val="2B2F38"/>
                <w:sz w:val="18"/>
              </w:rPr>
              <w:t>3–4</w:t>
            </w:r>
          </w:p>
        </w:tc>
        <w:tc>
          <w:tcPr>
            <w:tcW w:type="dxa" w:w="5132"/>
            <w:shd w:val="clear" w:color="auto" w:fill="F5F7F9"/>
          </w:tcPr>
          <w:p>
            <w:pPr>
              <w:spacing w:after="20"/>
            </w:pPr>
            <w:r>
              <w:rPr>
                <w:rFonts w:ascii="Calibri" w:hAnsi="Calibri"/>
                <w:b w:val="0"/>
                <w:i w:val="0"/>
                <w:color w:val="2B2F38"/>
                <w:sz w:val="18"/>
              </w:rPr>
              <w:t>Merchandising live in 14 doors; Walmart August line review held</w:t>
            </w:r>
          </w:p>
        </w:tc>
        <w:tc>
          <w:tcPr>
            <w:tcW w:type="dxa" w:w="3231"/>
            <w:shd w:val="clear" w:color="auto" w:fill="F5F7F9"/>
          </w:tcPr>
          <w:p>
            <w:pPr>
              <w:spacing w:after="20"/>
            </w:pPr>
            <w:r>
              <w:rPr>
                <w:rFonts w:ascii="Calibri" w:hAnsi="Calibri"/>
                <w:b w:val="0"/>
                <w:i w:val="0"/>
                <w:color w:val="2B2F38"/>
                <w:sz w:val="18"/>
              </w:rPr>
              <w:t>Customer Logistics / Marcus Boudreaux</w:t>
            </w:r>
          </w:p>
        </w:tc>
      </w:tr>
      <w:tr>
        <w:tc>
          <w:tcPr>
            <w:tcW w:type="dxa" w:w="1140"/>
            <w:shd w:val="clear" w:color="auto" w:fill="FFFFFF"/>
          </w:tcPr>
          <w:p>
            <w:pPr>
              <w:spacing w:after="20"/>
            </w:pPr>
            <w:r>
              <w:rPr>
                <w:rFonts w:ascii="Calibri" w:hAnsi="Calibri"/>
                <w:b w:val="0"/>
                <w:i w:val="0"/>
                <w:color w:val="2B2F38"/>
                <w:sz w:val="18"/>
              </w:rPr>
              <w:t>4–6</w:t>
            </w:r>
          </w:p>
        </w:tc>
        <w:tc>
          <w:tcPr>
            <w:tcW w:type="dxa" w:w="5132"/>
            <w:shd w:val="clear" w:color="auto" w:fill="FFFFFF"/>
          </w:tcPr>
          <w:p>
            <w:pPr>
              <w:spacing w:after="20"/>
            </w:pPr>
            <w:r>
              <w:rPr>
                <w:rFonts w:ascii="Calibri" w:hAnsi="Calibri"/>
                <w:b w:val="0"/>
                <w:i w:val="0"/>
                <w:color w:val="2B2F38"/>
                <w:sz w:val="18"/>
              </w:rPr>
              <w:t>Retail-media flight begins; Rouses trade events execute at capped depth</w:t>
            </w:r>
          </w:p>
        </w:tc>
        <w:tc>
          <w:tcPr>
            <w:tcW w:type="dxa" w:w="3231"/>
            <w:shd w:val="clear" w:color="auto" w:fill="FFFFFF"/>
          </w:tcPr>
          <w:p>
            <w:pPr>
              <w:spacing w:after="20"/>
            </w:pPr>
            <w:r>
              <w:rPr>
                <w:rFonts w:ascii="Calibri" w:hAnsi="Calibri"/>
                <w:b w:val="0"/>
                <w:i w:val="0"/>
                <w:color w:val="2B2F38"/>
                <w:sz w:val="18"/>
              </w:rPr>
              <w:t>Tasha Brooks / NAM</w:t>
            </w:r>
          </w:p>
        </w:tc>
      </w:tr>
      <w:tr>
        <w:tc>
          <w:tcPr>
            <w:tcW w:type="dxa" w:w="1140"/>
            <w:shd w:val="clear" w:color="auto" w:fill="F5F7F9"/>
          </w:tcPr>
          <w:p>
            <w:pPr>
              <w:spacing w:after="20"/>
            </w:pPr>
            <w:r>
              <w:rPr>
                <w:rFonts w:ascii="Calibri" w:hAnsi="Calibri"/>
                <w:b w:val="0"/>
                <w:i w:val="0"/>
                <w:color w:val="2B2F38"/>
                <w:sz w:val="18"/>
              </w:rPr>
              <w:t>6–8</w:t>
            </w:r>
          </w:p>
        </w:tc>
        <w:tc>
          <w:tcPr>
            <w:tcW w:type="dxa" w:w="5132"/>
            <w:shd w:val="clear" w:color="auto" w:fill="F5F7F9"/>
          </w:tcPr>
          <w:p>
            <w:pPr>
              <w:spacing w:after="20"/>
            </w:pPr>
            <w:r>
              <w:rPr>
                <w:rFonts w:ascii="Calibri" w:hAnsi="Calibri"/>
                <w:b w:val="0"/>
                <w:i w:val="0"/>
                <w:color w:val="2B2F38"/>
                <w:sz w:val="18"/>
              </w:rPr>
              <w:t>First OSA re-audit; facing compliance check in Walmart LA stores</w:t>
            </w:r>
          </w:p>
        </w:tc>
        <w:tc>
          <w:tcPr>
            <w:tcW w:type="dxa" w:w="3231"/>
            <w:shd w:val="clear" w:color="auto" w:fill="F5F7F9"/>
          </w:tcPr>
          <w:p>
            <w:pPr>
              <w:spacing w:after="20"/>
            </w:pPr>
            <w:r>
              <w:rPr>
                <w:rFonts w:ascii="Calibri" w:hAnsi="Calibri"/>
                <w:b w:val="0"/>
                <w:i w:val="0"/>
                <w:color w:val="2B2F38"/>
                <w:sz w:val="18"/>
              </w:rPr>
              <w:t>Jordan Hsu</w:t>
            </w:r>
          </w:p>
        </w:tc>
      </w:tr>
      <w:tr>
        <w:tc>
          <w:tcPr>
            <w:tcW w:type="dxa" w:w="1140"/>
            <w:shd w:val="clear" w:color="auto" w:fill="FFFFFF"/>
          </w:tcPr>
          <w:p>
            <w:pPr>
              <w:spacing w:after="20"/>
            </w:pPr>
            <w:r>
              <w:rPr>
                <w:rFonts w:ascii="Calibri" w:hAnsi="Calibri"/>
                <w:b w:val="0"/>
                <w:i w:val="0"/>
                <w:color w:val="2B2F38"/>
                <w:sz w:val="18"/>
              </w:rPr>
              <w:t>9–12</w:t>
            </w:r>
          </w:p>
        </w:tc>
        <w:tc>
          <w:tcPr>
            <w:tcW w:type="dxa" w:w="5132"/>
            <w:shd w:val="clear" w:color="auto" w:fill="FFFFFF"/>
          </w:tcPr>
          <w:p>
            <w:pPr>
              <w:spacing w:after="20"/>
            </w:pPr>
            <w:r>
              <w:rPr>
                <w:rFonts w:ascii="Calibri" w:hAnsi="Calibri"/>
                <w:b w:val="0"/>
                <w:i w:val="0"/>
                <w:color w:val="2B2F38"/>
                <w:sz w:val="18"/>
              </w:rPr>
              <w:t>Share re-read; decide whether leg 3 scales or stops</w:t>
            </w:r>
          </w:p>
        </w:tc>
        <w:tc>
          <w:tcPr>
            <w:tcW w:type="dxa" w:w="3231"/>
            <w:shd w:val="clear" w:color="auto" w:fill="FFFFFF"/>
          </w:tcPr>
          <w:p>
            <w:pPr>
              <w:spacing w:after="20"/>
            </w:pPr>
            <w:r>
              <w:rPr>
                <w:rFonts w:ascii="Calibri" w:hAnsi="Calibri"/>
                <w:b w:val="0"/>
                <w:i w:val="0"/>
                <w:color w:val="2B2F38"/>
                <w:sz w:val="18"/>
              </w:rPr>
              <w:t>Jordan Hsu / Marcus Boudreaux</w:t>
            </w:r>
          </w:p>
        </w:tc>
      </w:tr>
    </w:tbl>
    <w:p>
      <w:pPr>
        <w:keepNext w:val="0"/>
        <w:spacing w:after="60" w:before="0" w:line="274" w:lineRule="auto"/>
      </w:pPr>
    </w:p>
    <w:p>
      <w:pPr>
        <w:keepNext/>
        <w:spacing w:after="40" w:before="240" w:line="274" w:lineRule="auto"/>
      </w:pPr>
      <w:r>
        <w:rPr>
          <w:rFonts w:ascii="Calibri" w:hAnsi="Calibri"/>
          <w:b/>
          <w:i w:val="0"/>
          <w:color w:val="2E7D75"/>
          <w:sz w:val="18"/>
        </w:rPr>
        <w:t>EARLY WARNING</w:t>
      </w:r>
    </w:p>
    <w:p>
      <w:pPr>
        <w:keepNext/>
        <w:spacing w:after="100" w:before="0" w:line="274" w:lineRule="auto"/>
      </w:pPr>
      <w:r>
        <w:rPr>
          <w:rFonts w:ascii="Calibri" w:hAnsi="Calibri"/>
          <w:b/>
          <w:i w:val="0"/>
          <w:color w:val="1F2A44"/>
          <w:sz w:val="31"/>
        </w:rPr>
        <w:t>6 · The next two dominoes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3802"/>
        <w:gridCol w:w="1901"/>
        <w:gridCol w:w="1901"/>
        <w:gridCol w:w="1901"/>
      </w:tblGrid>
      <w:tr>
        <w:tc>
          <w:tcPr>
            <w:tcW w:type="dxa" w:w="3802"/>
            <w:shd w:val="clear" w:color="auto" w:fill="1F2A44"/>
          </w:tcPr>
          <w:p>
            <w:pPr>
              <w:spacing w:after="20"/>
            </w:pPr>
            <w:r>
              <w:rPr>
                <w:rFonts w:ascii="Calibri" w:hAnsi="Calibri"/>
                <w:b/>
                <w:i w:val="0"/>
                <w:color w:val="FFFFFF"/>
                <w:sz w:val="17"/>
              </w:rPr>
              <w:t>Market</w:t>
            </w:r>
          </w:p>
        </w:tc>
        <w:tc>
          <w:tcPr>
            <w:tcW w:type="dxa" w:w="1901"/>
            <w:shd w:val="clear" w:color="auto" w:fill="1F2A44"/>
          </w:tcPr>
          <w:p>
            <w:pPr>
              <w:spacing w:after="20"/>
              <w:jc w:val="right"/>
            </w:pPr>
            <w:r>
              <w:rPr>
                <w:rFonts w:ascii="Calibri" w:hAnsi="Calibri"/>
                <w:b/>
                <w:i w:val="0"/>
                <w:color w:val="FFFFFF"/>
                <w:sz w:val="17"/>
              </w:rPr>
              <w:t>FY25 share</w:t>
            </w:r>
          </w:p>
        </w:tc>
        <w:tc>
          <w:tcPr>
            <w:tcW w:type="dxa" w:w="1901"/>
            <w:shd w:val="clear" w:color="auto" w:fill="1F2A44"/>
          </w:tcPr>
          <w:p>
            <w:pPr>
              <w:spacing w:after="20"/>
              <w:jc w:val="right"/>
            </w:pPr>
            <w:r>
              <w:rPr>
                <w:rFonts w:ascii="Calibri" w:hAnsi="Calibri"/>
                <w:b/>
                <w:i w:val="0"/>
                <w:color w:val="FFFFFF"/>
                <w:sz w:val="17"/>
              </w:rPr>
              <w:t>Q1 FY26 share</w:t>
            </w:r>
          </w:p>
        </w:tc>
        <w:tc>
          <w:tcPr>
            <w:tcW w:type="dxa" w:w="1901"/>
            <w:shd w:val="clear" w:color="auto" w:fill="1F2A44"/>
          </w:tcPr>
          <w:p>
            <w:pPr>
              <w:spacing w:after="20"/>
              <w:jc w:val="right"/>
            </w:pPr>
            <w:r>
              <w:rPr>
                <w:rFonts w:ascii="Calibri" w:hAnsi="Calibri"/>
                <w:b/>
                <w:i w:val="0"/>
                <w:color w:val="FFFFFF"/>
                <w:sz w:val="17"/>
              </w:rPr>
              <w:t>Δ bps</w:t>
            </w:r>
          </w:p>
        </w:tc>
      </w:tr>
      <w:tr>
        <w:tc>
          <w:tcPr>
            <w:tcW w:type="dxa" w:w="3802"/>
            <w:shd w:val="clear" w:color="auto" w:fill="FFFFFF"/>
          </w:tcPr>
          <w:p>
            <w:pPr>
              <w:spacing w:after="20"/>
            </w:pPr>
            <w:r>
              <w:rPr>
                <w:rFonts w:ascii="Calibri" w:hAnsi="Calibri"/>
                <w:b w:val="0"/>
                <w:i w:val="0"/>
                <w:color w:val="2B2F38"/>
                <w:sz w:val="18"/>
              </w:rPr>
              <w:t>Louisiana DMA</w:t>
            </w:r>
          </w:p>
        </w:tc>
        <w:tc>
          <w:tcPr>
            <w:tcW w:type="dxa" w:w="1901"/>
            <w:shd w:val="clear" w:color="auto" w:fill="FFFFFF"/>
          </w:tcPr>
          <w:p>
            <w:pPr>
              <w:spacing w:after="20"/>
              <w:jc w:val="right"/>
            </w:pPr>
            <w:r>
              <w:rPr>
                <w:rFonts w:ascii="Calibri" w:hAnsi="Calibri"/>
                <w:b w:val="0"/>
                <w:i w:val="0"/>
                <w:color w:val="2B2F38"/>
                <w:sz w:val="18"/>
              </w:rPr>
              <w:t>6.4%</w:t>
            </w:r>
          </w:p>
        </w:tc>
        <w:tc>
          <w:tcPr>
            <w:tcW w:type="dxa" w:w="1901"/>
            <w:shd w:val="clear" w:color="auto" w:fill="FFFFFF"/>
          </w:tcPr>
          <w:p>
            <w:pPr>
              <w:spacing w:after="20"/>
              <w:jc w:val="right"/>
            </w:pPr>
            <w:r>
              <w:rPr>
                <w:rFonts w:ascii="Calibri" w:hAnsi="Calibri"/>
                <w:b w:val="0"/>
                <w:i w:val="0"/>
                <w:color w:val="2B2F38"/>
                <w:sz w:val="18"/>
              </w:rPr>
              <w:t>3.0%</w:t>
            </w:r>
          </w:p>
        </w:tc>
        <w:tc>
          <w:tcPr>
            <w:tcW w:type="dxa" w:w="1901"/>
            <w:shd w:val="clear" w:color="auto" w:fill="FFFFFF"/>
          </w:tcPr>
          <w:p>
            <w:pPr>
              <w:spacing w:after="20"/>
              <w:jc w:val="right"/>
            </w:pPr>
            <w:r>
              <w:rPr>
                <w:rFonts w:ascii="Calibri" w:hAnsi="Calibri"/>
                <w:b w:val="0"/>
                <w:i w:val="0"/>
                <w:color w:val="2B2F38"/>
                <w:sz w:val="18"/>
              </w:rPr>
              <w:t>-340</w:t>
            </w:r>
          </w:p>
        </w:tc>
      </w:tr>
      <w:tr>
        <w:tc>
          <w:tcPr>
            <w:tcW w:type="dxa" w:w="3802"/>
            <w:shd w:val="clear" w:color="auto" w:fill="F5F7F9"/>
          </w:tcPr>
          <w:p>
            <w:pPr>
              <w:spacing w:after="20"/>
            </w:pPr>
            <w:r>
              <w:rPr>
                <w:rFonts w:ascii="Calibri" w:hAnsi="Calibri"/>
                <w:b w:val="0"/>
                <w:i w:val="0"/>
                <w:color w:val="2B2F38"/>
                <w:sz w:val="18"/>
              </w:rPr>
              <w:t>New Orleans-Metairie MSA</w:t>
            </w:r>
          </w:p>
        </w:tc>
        <w:tc>
          <w:tcPr>
            <w:tcW w:type="dxa" w:w="1901"/>
            <w:shd w:val="clear" w:color="auto" w:fill="F5F7F9"/>
          </w:tcPr>
          <w:p>
            <w:pPr>
              <w:spacing w:after="20"/>
              <w:jc w:val="right"/>
            </w:pPr>
            <w:r>
              <w:rPr>
                <w:rFonts w:ascii="Calibri" w:hAnsi="Calibri"/>
                <w:b w:val="0"/>
                <w:i w:val="0"/>
                <w:color w:val="2B2F38"/>
                <w:sz w:val="18"/>
              </w:rPr>
              <w:t>5.1%</w:t>
            </w:r>
          </w:p>
        </w:tc>
        <w:tc>
          <w:tcPr>
            <w:tcW w:type="dxa" w:w="1901"/>
            <w:shd w:val="clear" w:color="auto" w:fill="F5F7F9"/>
          </w:tcPr>
          <w:p>
            <w:pPr>
              <w:spacing w:after="20"/>
              <w:jc w:val="right"/>
            </w:pPr>
            <w:r>
              <w:rPr>
                <w:rFonts w:ascii="Calibri" w:hAnsi="Calibri"/>
                <w:b w:val="0"/>
                <w:i w:val="0"/>
                <w:color w:val="2B2F38"/>
                <w:sz w:val="18"/>
              </w:rPr>
              <w:t>3.0%</w:t>
            </w:r>
          </w:p>
        </w:tc>
        <w:tc>
          <w:tcPr>
            <w:tcW w:type="dxa" w:w="1901"/>
            <w:shd w:val="clear" w:color="auto" w:fill="F5F7F9"/>
          </w:tcPr>
          <w:p>
            <w:pPr>
              <w:spacing w:after="20"/>
              <w:jc w:val="right"/>
            </w:pPr>
            <w:r>
              <w:rPr>
                <w:rFonts w:ascii="Calibri" w:hAnsi="Calibri"/>
                <w:b w:val="0"/>
                <w:i w:val="0"/>
                <w:color w:val="2B2F38"/>
                <w:sz w:val="18"/>
              </w:rPr>
              <w:t>-210</w:t>
            </w:r>
          </w:p>
        </w:tc>
      </w:tr>
      <w:tr>
        <w:tc>
          <w:tcPr>
            <w:tcW w:type="dxa" w:w="3802"/>
            <w:shd w:val="clear" w:color="auto" w:fill="FFFFFF"/>
          </w:tcPr>
          <w:p>
            <w:pPr>
              <w:spacing w:after="20"/>
            </w:pPr>
            <w:r>
              <w:rPr>
                <w:rFonts w:ascii="Calibri" w:hAnsi="Calibri"/>
                <w:b w:val="0"/>
                <w:i w:val="0"/>
                <w:color w:val="2B2F38"/>
                <w:sz w:val="18"/>
              </w:rPr>
              <w:t>Baton Rouge MSA</w:t>
            </w:r>
          </w:p>
        </w:tc>
        <w:tc>
          <w:tcPr>
            <w:tcW w:type="dxa" w:w="1901"/>
            <w:shd w:val="clear" w:color="auto" w:fill="FFFFFF"/>
          </w:tcPr>
          <w:p>
            <w:pPr>
              <w:spacing w:after="20"/>
              <w:jc w:val="right"/>
            </w:pPr>
            <w:r>
              <w:rPr>
                <w:rFonts w:ascii="Calibri" w:hAnsi="Calibri"/>
                <w:b w:val="0"/>
                <w:i w:val="0"/>
                <w:color w:val="2B2F38"/>
                <w:sz w:val="18"/>
              </w:rPr>
              <w:t>5.8%</w:t>
            </w:r>
          </w:p>
        </w:tc>
        <w:tc>
          <w:tcPr>
            <w:tcW w:type="dxa" w:w="1901"/>
            <w:shd w:val="clear" w:color="auto" w:fill="FFFFFF"/>
          </w:tcPr>
          <w:p>
            <w:pPr>
              <w:spacing w:after="20"/>
              <w:jc w:val="right"/>
            </w:pPr>
            <w:r>
              <w:rPr>
                <w:rFonts w:ascii="Calibri" w:hAnsi="Calibri"/>
                <w:b w:val="0"/>
                <w:i w:val="0"/>
                <w:color w:val="2B2F38"/>
                <w:sz w:val="18"/>
              </w:rPr>
              <w:t>4.2%</w:t>
            </w:r>
          </w:p>
        </w:tc>
        <w:tc>
          <w:tcPr>
            <w:tcW w:type="dxa" w:w="1901"/>
            <w:shd w:val="clear" w:color="auto" w:fill="FFFFFF"/>
          </w:tcPr>
          <w:p>
            <w:pPr>
              <w:spacing w:after="20"/>
              <w:jc w:val="right"/>
            </w:pPr>
            <w:r>
              <w:rPr>
                <w:rFonts w:ascii="Calibri" w:hAnsi="Calibri"/>
                <w:b w:val="0"/>
                <w:i w:val="0"/>
                <w:color w:val="2B2F38"/>
                <w:sz w:val="18"/>
              </w:rPr>
              <w:t>-160</w:t>
            </w:r>
          </w:p>
        </w:tc>
      </w:tr>
      <w:tr>
        <w:tc>
          <w:tcPr>
            <w:tcW w:type="dxa" w:w="3802"/>
            <w:shd w:val="clear" w:color="auto" w:fill="F5F7F9"/>
          </w:tcPr>
          <w:p>
            <w:pPr>
              <w:spacing w:after="20"/>
            </w:pPr>
            <w:r>
              <w:rPr>
                <w:rFonts w:ascii="Calibri" w:hAnsi="Calibri"/>
                <w:b w:val="0"/>
                <w:i w:val="0"/>
                <w:color w:val="2B2F38"/>
                <w:sz w:val="18"/>
              </w:rPr>
              <w:t>Lafayette LA MSA</w:t>
            </w:r>
          </w:p>
        </w:tc>
        <w:tc>
          <w:tcPr>
            <w:tcW w:type="dxa" w:w="1901"/>
            <w:shd w:val="clear" w:color="auto" w:fill="F5F7F9"/>
          </w:tcPr>
          <w:p>
            <w:pPr>
              <w:spacing w:after="20"/>
              <w:jc w:val="right"/>
            </w:pPr>
            <w:r>
              <w:rPr>
                <w:rFonts w:ascii="Calibri" w:hAnsi="Calibri"/>
                <w:b w:val="0"/>
                <w:i w:val="0"/>
                <w:color w:val="2B2F38"/>
                <w:sz w:val="18"/>
              </w:rPr>
              <w:t>6.2%</w:t>
            </w:r>
          </w:p>
        </w:tc>
        <w:tc>
          <w:tcPr>
            <w:tcW w:type="dxa" w:w="1901"/>
            <w:shd w:val="clear" w:color="auto" w:fill="F5F7F9"/>
          </w:tcPr>
          <w:p>
            <w:pPr>
              <w:spacing w:after="20"/>
              <w:jc w:val="right"/>
            </w:pPr>
            <w:r>
              <w:rPr>
                <w:rFonts w:ascii="Calibri" w:hAnsi="Calibri"/>
                <w:b w:val="0"/>
                <w:i w:val="0"/>
                <w:color w:val="2B2F38"/>
                <w:sz w:val="18"/>
              </w:rPr>
              <w:t>5.5%</w:t>
            </w:r>
          </w:p>
        </w:tc>
        <w:tc>
          <w:tcPr>
            <w:tcW w:type="dxa" w:w="1901"/>
            <w:shd w:val="clear" w:color="auto" w:fill="F5F7F9"/>
          </w:tcPr>
          <w:p>
            <w:pPr>
              <w:spacing w:after="20"/>
              <w:jc w:val="right"/>
            </w:pPr>
            <w:r>
              <w:rPr>
                <w:rFonts w:ascii="Calibri" w:hAnsi="Calibri"/>
                <w:b w:val="0"/>
                <w:i w:val="0"/>
                <w:color w:val="2B2F38"/>
                <w:sz w:val="18"/>
              </w:rPr>
              <w:t>-70</w:t>
            </w:r>
          </w:p>
        </w:tc>
      </w:tr>
      <w:tr>
        <w:tc>
          <w:tcPr>
            <w:tcW w:type="dxa" w:w="3802"/>
            <w:shd w:val="clear" w:color="auto" w:fill="FFFFFF"/>
          </w:tcPr>
          <w:p>
            <w:pPr>
              <w:spacing w:after="20"/>
            </w:pPr>
            <w:r>
              <w:rPr>
                <w:rFonts w:ascii="Calibri" w:hAnsi="Calibri"/>
                <w:b w:val="0"/>
                <w:i w:val="0"/>
                <w:color w:val="2B2F38"/>
                <w:sz w:val="18"/>
              </w:rPr>
              <w:t>Southeast US</w:t>
            </w:r>
          </w:p>
        </w:tc>
        <w:tc>
          <w:tcPr>
            <w:tcW w:type="dxa" w:w="1901"/>
            <w:shd w:val="clear" w:color="auto" w:fill="FFFFFF"/>
          </w:tcPr>
          <w:p>
            <w:pPr>
              <w:spacing w:after="20"/>
              <w:jc w:val="right"/>
            </w:pPr>
            <w:r>
              <w:rPr>
                <w:rFonts w:ascii="Calibri" w:hAnsi="Calibri"/>
                <w:b w:val="0"/>
                <w:i w:val="0"/>
                <w:color w:val="2B2F38"/>
                <w:sz w:val="18"/>
              </w:rPr>
              <w:t>4.9%</w:t>
            </w:r>
          </w:p>
        </w:tc>
        <w:tc>
          <w:tcPr>
            <w:tcW w:type="dxa" w:w="1901"/>
            <w:shd w:val="clear" w:color="auto" w:fill="FFFFFF"/>
          </w:tcPr>
          <w:p>
            <w:pPr>
              <w:spacing w:after="20"/>
              <w:jc w:val="right"/>
            </w:pPr>
            <w:r>
              <w:rPr>
                <w:rFonts w:ascii="Calibri" w:hAnsi="Calibri"/>
                <w:b w:val="0"/>
                <w:i w:val="0"/>
                <w:color w:val="2B2F38"/>
                <w:sz w:val="18"/>
              </w:rPr>
              <w:t>4.4%</w:t>
            </w:r>
          </w:p>
        </w:tc>
        <w:tc>
          <w:tcPr>
            <w:tcW w:type="dxa" w:w="1901"/>
            <w:shd w:val="clear" w:color="auto" w:fill="FFFFFF"/>
          </w:tcPr>
          <w:p>
            <w:pPr>
              <w:spacing w:after="20"/>
              <w:jc w:val="right"/>
            </w:pPr>
            <w:r>
              <w:rPr>
                <w:rFonts w:ascii="Calibri" w:hAnsi="Calibri"/>
                <w:b w:val="0"/>
                <w:i w:val="0"/>
                <w:color w:val="2B2F38"/>
                <w:sz w:val="18"/>
              </w:rPr>
              <w:t>-50</w:t>
            </w:r>
          </w:p>
        </w:tc>
      </w:tr>
      <w:tr>
        <w:tc>
          <w:tcPr>
            <w:tcW w:type="dxa" w:w="3802"/>
            <w:shd w:val="clear" w:color="auto" w:fill="F5F7F9"/>
          </w:tcPr>
          <w:p>
            <w:pPr>
              <w:spacing w:after="20"/>
            </w:pPr>
            <w:r>
              <w:rPr>
                <w:rFonts w:ascii="Calibri" w:hAnsi="Calibri"/>
                <w:b w:val="0"/>
                <w:i w:val="0"/>
                <w:color w:val="2B2F38"/>
                <w:sz w:val="18"/>
              </w:rPr>
              <w:t>Mississippi DMA</w:t>
            </w:r>
          </w:p>
        </w:tc>
        <w:tc>
          <w:tcPr>
            <w:tcW w:type="dxa" w:w="1901"/>
            <w:shd w:val="clear" w:color="auto" w:fill="F5F7F9"/>
          </w:tcPr>
          <w:p>
            <w:pPr>
              <w:spacing w:after="20"/>
              <w:jc w:val="right"/>
            </w:pPr>
            <w:r>
              <w:rPr>
                <w:rFonts w:ascii="Calibri" w:hAnsi="Calibri"/>
                <w:b w:val="0"/>
                <w:i w:val="0"/>
                <w:color w:val="2B2F38"/>
                <w:sz w:val="18"/>
              </w:rPr>
              <w:t>5.3%</w:t>
            </w:r>
          </w:p>
        </w:tc>
        <w:tc>
          <w:tcPr>
            <w:tcW w:type="dxa" w:w="1901"/>
            <w:shd w:val="clear" w:color="auto" w:fill="F5F7F9"/>
          </w:tcPr>
          <w:p>
            <w:pPr>
              <w:spacing w:after="20"/>
              <w:jc w:val="right"/>
            </w:pPr>
            <w:r>
              <w:rPr>
                <w:rFonts w:ascii="Calibri" w:hAnsi="Calibri"/>
                <w:b w:val="0"/>
                <w:i w:val="0"/>
                <w:color w:val="2B2F38"/>
                <w:sz w:val="18"/>
              </w:rPr>
              <w:t>4.9%</w:t>
            </w:r>
          </w:p>
        </w:tc>
        <w:tc>
          <w:tcPr>
            <w:tcW w:type="dxa" w:w="1901"/>
            <w:shd w:val="clear" w:color="auto" w:fill="F5F7F9"/>
          </w:tcPr>
          <w:p>
            <w:pPr>
              <w:spacing w:after="20"/>
              <w:jc w:val="right"/>
            </w:pPr>
            <w:r>
              <w:rPr>
                <w:rFonts w:ascii="Calibri" w:hAnsi="Calibri"/>
                <w:b w:val="0"/>
                <w:i w:val="0"/>
                <w:color w:val="2B2F38"/>
                <w:sz w:val="18"/>
              </w:rPr>
              <w:t>-40</w:t>
            </w:r>
          </w:p>
        </w:tc>
      </w:tr>
      <w:tr>
        <w:tc>
          <w:tcPr>
            <w:tcW w:type="dxa" w:w="3802"/>
            <w:shd w:val="clear" w:color="auto" w:fill="FFFFFF"/>
          </w:tcPr>
          <w:p>
            <w:pPr>
              <w:spacing w:after="20"/>
            </w:pPr>
            <w:r>
              <w:rPr>
                <w:rFonts w:ascii="Calibri" w:hAnsi="Calibri"/>
                <w:b w:val="0"/>
                <w:i w:val="0"/>
                <w:color w:val="2B2F38"/>
                <w:sz w:val="18"/>
              </w:rPr>
              <w:t>Texas</w:t>
            </w:r>
          </w:p>
        </w:tc>
        <w:tc>
          <w:tcPr>
            <w:tcW w:type="dxa" w:w="1901"/>
            <w:shd w:val="clear" w:color="auto" w:fill="FFFFFF"/>
          </w:tcPr>
          <w:p>
            <w:pPr>
              <w:spacing w:after="20"/>
              <w:jc w:val="right"/>
            </w:pPr>
            <w:r>
              <w:rPr>
                <w:rFonts w:ascii="Calibri" w:hAnsi="Calibri"/>
                <w:b w:val="0"/>
                <w:i w:val="0"/>
                <w:color w:val="2B2F38"/>
                <w:sz w:val="18"/>
              </w:rPr>
              <w:t>6.3%</w:t>
            </w:r>
          </w:p>
        </w:tc>
        <w:tc>
          <w:tcPr>
            <w:tcW w:type="dxa" w:w="1901"/>
            <w:shd w:val="clear" w:color="auto" w:fill="FFFFFF"/>
          </w:tcPr>
          <w:p>
            <w:pPr>
              <w:spacing w:after="20"/>
              <w:jc w:val="right"/>
            </w:pPr>
            <w:r>
              <w:rPr>
                <w:rFonts w:ascii="Calibri" w:hAnsi="Calibri"/>
                <w:b w:val="0"/>
                <w:i w:val="0"/>
                <w:color w:val="2B2F38"/>
                <w:sz w:val="18"/>
              </w:rPr>
              <w:t>6.0%</w:t>
            </w:r>
          </w:p>
        </w:tc>
        <w:tc>
          <w:tcPr>
            <w:tcW w:type="dxa" w:w="1901"/>
            <w:shd w:val="clear" w:color="auto" w:fill="FFFFFF"/>
          </w:tcPr>
          <w:p>
            <w:pPr>
              <w:spacing w:after="20"/>
              <w:jc w:val="right"/>
            </w:pPr>
            <w:r>
              <w:rPr>
                <w:rFonts w:ascii="Calibri" w:hAnsi="Calibri"/>
                <w:b w:val="0"/>
                <w:i w:val="0"/>
                <w:color w:val="2B2F38"/>
                <w:sz w:val="18"/>
              </w:rPr>
              <w:t>-30</w:t>
            </w:r>
          </w:p>
        </w:tc>
      </w:tr>
      <w:tr>
        <w:tc>
          <w:tcPr>
            <w:tcW w:type="dxa" w:w="3802"/>
            <w:shd w:val="clear" w:color="auto" w:fill="F5F7F9"/>
          </w:tcPr>
          <w:p>
            <w:pPr>
              <w:spacing w:after="20"/>
            </w:pPr>
            <w:r>
              <w:rPr>
                <w:rFonts w:ascii="Calibri" w:hAnsi="Calibri"/>
                <w:b w:val="0"/>
                <w:i w:val="0"/>
                <w:color w:val="2B2F38"/>
                <w:sz w:val="18"/>
              </w:rPr>
              <w:t>Birmingham-Tuscaloosa-Anni</w:t>
            </w:r>
          </w:p>
        </w:tc>
        <w:tc>
          <w:tcPr>
            <w:tcW w:type="dxa" w:w="1901"/>
            <w:shd w:val="clear" w:color="auto" w:fill="F5F7F9"/>
          </w:tcPr>
          <w:p>
            <w:pPr>
              <w:spacing w:after="20"/>
              <w:jc w:val="right"/>
            </w:pPr>
            <w:r>
              <w:rPr>
                <w:rFonts w:ascii="Calibri" w:hAnsi="Calibri"/>
                <w:b w:val="0"/>
                <w:i w:val="0"/>
                <w:color w:val="2B2F38"/>
                <w:sz w:val="18"/>
              </w:rPr>
              <w:t>5.7%</w:t>
            </w:r>
          </w:p>
        </w:tc>
        <w:tc>
          <w:tcPr>
            <w:tcW w:type="dxa" w:w="1901"/>
            <w:shd w:val="clear" w:color="auto" w:fill="F5F7F9"/>
          </w:tcPr>
          <w:p>
            <w:pPr>
              <w:spacing w:after="20"/>
              <w:jc w:val="right"/>
            </w:pPr>
            <w:r>
              <w:rPr>
                <w:rFonts w:ascii="Calibri" w:hAnsi="Calibri"/>
                <w:b w:val="0"/>
                <w:i w:val="0"/>
                <w:color w:val="2B2F38"/>
                <w:sz w:val="18"/>
              </w:rPr>
              <w:t>5.4%</w:t>
            </w:r>
          </w:p>
        </w:tc>
        <w:tc>
          <w:tcPr>
            <w:tcW w:type="dxa" w:w="1901"/>
            <w:shd w:val="clear" w:color="auto" w:fill="F5F7F9"/>
          </w:tcPr>
          <w:p>
            <w:pPr>
              <w:spacing w:after="20"/>
              <w:jc w:val="right"/>
            </w:pPr>
            <w:r>
              <w:rPr>
                <w:rFonts w:ascii="Calibri" w:hAnsi="Calibri"/>
                <w:b w:val="0"/>
                <w:i w:val="0"/>
                <w:color w:val="2B2F38"/>
                <w:sz w:val="18"/>
              </w:rPr>
              <w:t>-30</w:t>
            </w:r>
          </w:p>
        </w:tc>
      </w:tr>
    </w:tbl>
    <w:p>
      <w:pPr>
        <w:keepNext w:val="0"/>
        <w:spacing w:after="60" w:before="0" w:line="274" w:lineRule="auto"/>
      </w:pPr>
    </w:p>
    <w:p>
      <w:pPr>
        <w:keepNext w:val="0"/>
        <w:spacing w:after="160" w:before="0" w:line="274" w:lineRule="auto"/>
      </w:pPr>
      <w:r>
        <w:rPr>
          <w:rFonts w:ascii="Calibri" w:hAnsi="Calibri"/>
          <w:b w:val="0"/>
          <w:i/>
          <w:color w:val="5B6472"/>
          <w:sz w:val="16"/>
        </w:rPr>
        <w:t>Source: seed_geographies.</w:t>
      </w:r>
    </w:p>
    <w:p>
      <w:pPr>
        <w:keepNext w:val="0"/>
        <w:spacing w:after="120" w:before="0" w:line="274" w:lineRule="auto"/>
      </w:pPr>
      <w:r>
        <w:rPr>
          <w:rFonts w:ascii="Calibri" w:hAnsi="Calibri"/>
          <w:b w:val="0"/>
          <w:i w:val="0"/>
          <w:color w:val="2B2F38"/>
          <w:sz w:val="21"/>
        </w:rPr>
        <w:t>Birmingham and Memphis show the same 30 basis point drift Louisiana showed in Q4 2025, with no local event to explain it. Weekly facing and OSA monitoring in both DMAs costs almost nothing and buys a quarter of warning. It starts with this plan, not after the next alarm.</w:t>
      </w:r>
    </w:p>
    <w:p>
      <w:pPr>
        <w:keepNext/>
        <w:spacing w:after="60" w:before="180" w:line="274" w:lineRule="auto"/>
      </w:pPr>
      <w:r>
        <w:rPr>
          <w:rFonts w:ascii="Calibri" w:hAnsi="Calibri"/>
          <w:b/>
          <w:i w:val="0"/>
          <w:color w:val="1F2A44"/>
          <w:sz w:val="23"/>
        </w:rPr>
        <w:t>Risks &amp; mitigations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2281"/>
        <w:gridCol w:w="1901"/>
        <w:gridCol w:w="3612"/>
        <w:gridCol w:w="1711"/>
      </w:tblGrid>
      <w:tr>
        <w:tc>
          <w:tcPr>
            <w:tcW w:type="dxa" w:w="2281"/>
            <w:shd w:val="clear" w:color="auto" w:fill="1F2A44"/>
          </w:tcPr>
          <w:p>
            <w:pPr>
              <w:spacing w:after="20"/>
            </w:pPr>
            <w:r>
              <w:rPr>
                <w:rFonts w:ascii="Calibri" w:hAnsi="Calibri"/>
                <w:b/>
                <w:i w:val="0"/>
                <w:color w:val="FFFFFF"/>
                <w:sz w:val="18"/>
              </w:rPr>
              <w:t>Risk</w:t>
            </w:r>
          </w:p>
        </w:tc>
        <w:tc>
          <w:tcPr>
            <w:tcW w:type="dxa" w:w="1901"/>
            <w:shd w:val="clear" w:color="auto" w:fill="1F2A44"/>
          </w:tcPr>
          <w:p>
            <w:pPr>
              <w:spacing w:after="20"/>
            </w:pPr>
            <w:r>
              <w:rPr>
                <w:rFonts w:ascii="Calibri" w:hAnsi="Calibri"/>
                <w:b/>
                <w:i w:val="0"/>
                <w:color w:val="FFFFFF"/>
                <w:sz w:val="18"/>
              </w:rPr>
              <w:t>Impact</w:t>
            </w:r>
          </w:p>
        </w:tc>
        <w:tc>
          <w:tcPr>
            <w:tcW w:type="dxa" w:w="3612"/>
            <w:shd w:val="clear" w:color="auto" w:fill="1F2A44"/>
          </w:tcPr>
          <w:p>
            <w:pPr>
              <w:spacing w:after="20"/>
            </w:pPr>
            <w:r>
              <w:rPr>
                <w:rFonts w:ascii="Calibri" w:hAnsi="Calibri"/>
                <w:b/>
                <w:i w:val="0"/>
                <w:color w:val="FFFFFF"/>
                <w:sz w:val="18"/>
              </w:rPr>
              <w:t>Mitigation</w:t>
            </w:r>
          </w:p>
        </w:tc>
        <w:tc>
          <w:tcPr>
            <w:tcW w:type="dxa" w:w="1711"/>
            <w:shd w:val="clear" w:color="auto" w:fill="1F2A44"/>
          </w:tcPr>
          <w:p>
            <w:pPr>
              <w:spacing w:after="20"/>
            </w:pPr>
            <w:r>
              <w:rPr>
                <w:rFonts w:ascii="Calibri" w:hAnsi="Calibri"/>
                <w:b/>
                <w:i w:val="0"/>
                <w:color w:val="FFFFFF"/>
                <w:sz w:val="18"/>
              </w:rPr>
              <w:t>Owner</w:t>
            </w:r>
          </w:p>
        </w:tc>
      </w:tr>
      <w:tr>
        <w:tc>
          <w:tcPr>
            <w:tcW w:type="dxa" w:w="2281"/>
            <w:shd w:val="clear" w:color="auto" w:fill="FFFFFF"/>
          </w:tcPr>
          <w:p>
            <w:pPr>
              <w:spacing w:after="20"/>
            </w:pPr>
            <w:r>
              <w:rPr>
                <w:rFonts w:ascii="Calibri" w:hAnsi="Calibri"/>
                <w:b w:val="0"/>
                <w:i w:val="0"/>
                <w:color w:val="2B2F38"/>
                <w:sz w:val="19"/>
              </w:rPr>
              <w:t>Line review does not restore facings</w:t>
            </w:r>
          </w:p>
        </w:tc>
        <w:tc>
          <w:tcPr>
            <w:tcW w:type="dxa" w:w="1901"/>
            <w:shd w:val="clear" w:color="auto" w:fill="FFFFFF"/>
          </w:tcPr>
          <w:p>
            <w:pPr>
              <w:spacing w:after="20"/>
            </w:pPr>
            <w:r>
              <w:rPr>
                <w:rFonts w:ascii="Calibri" w:hAnsi="Calibri"/>
                <w:b w:val="0"/>
                <w:i w:val="0"/>
                <w:color w:val="2B2F38"/>
                <w:sz w:val="19"/>
              </w:rPr>
              <w:t>Leg 1 fails; recovery ceiling drops to ~3.6%</w:t>
            </w:r>
          </w:p>
        </w:tc>
        <w:tc>
          <w:tcPr>
            <w:tcW w:type="dxa" w:w="3612"/>
            <w:shd w:val="clear" w:color="auto" w:fill="FFFFFF"/>
          </w:tcPr>
          <w:p>
            <w:pPr>
              <w:spacing w:after="20"/>
            </w:pPr>
            <w:r>
              <w:rPr>
                <w:rFonts w:ascii="Calibri" w:hAnsi="Calibri"/>
                <w:b w:val="0"/>
                <w:i w:val="0"/>
                <w:color w:val="2B2F38"/>
                <w:sz w:val="19"/>
              </w:rPr>
              <w:t>Escalate to the FY27 JBP as a category-dollar case; hold endcap ask separately</w:t>
            </w:r>
          </w:p>
        </w:tc>
        <w:tc>
          <w:tcPr>
            <w:tcW w:type="dxa" w:w="1711"/>
            <w:shd w:val="clear" w:color="auto" w:fill="FFFFFF"/>
          </w:tcPr>
          <w:p>
            <w:pPr>
              <w:spacing w:after="20"/>
            </w:pPr>
            <w:r>
              <w:rPr>
                <w:rFonts w:ascii="Calibri" w:hAnsi="Calibri"/>
                <w:b w:val="0"/>
                <w:i w:val="0"/>
                <w:color w:val="2B2F38"/>
                <w:sz w:val="19"/>
              </w:rPr>
              <w:t>Marcus Boudreaux</w:t>
            </w:r>
          </w:p>
        </w:tc>
      </w:tr>
      <w:tr>
        <w:tc>
          <w:tcPr>
            <w:tcW w:type="dxa" w:w="2281"/>
            <w:shd w:val="clear" w:color="auto" w:fill="F5F7F9"/>
          </w:tcPr>
          <w:p>
            <w:pPr>
              <w:spacing w:after="20"/>
            </w:pPr>
            <w:r>
              <w:rPr>
                <w:rFonts w:ascii="Calibri" w:hAnsi="Calibri"/>
                <w:b w:val="0"/>
                <w:i w:val="0"/>
                <w:color w:val="2B2F38"/>
                <w:sz w:val="19"/>
              </w:rPr>
              <w:t>Merchandising does not lift OSA above 90%</w:t>
            </w:r>
          </w:p>
        </w:tc>
        <w:tc>
          <w:tcPr>
            <w:tcW w:type="dxa" w:w="1901"/>
            <w:shd w:val="clear" w:color="auto" w:fill="F5F7F9"/>
          </w:tcPr>
          <w:p>
            <w:pPr>
              <w:spacing w:after="20"/>
            </w:pPr>
            <w:r>
              <w:rPr>
                <w:rFonts w:ascii="Calibri" w:hAnsi="Calibri"/>
                <w:b w:val="0"/>
                <w:i w:val="0"/>
                <w:color w:val="2B2F38"/>
                <w:sz w:val="19"/>
              </w:rPr>
              <w:t>Leg 2 fails; media leg stays paused</w:t>
            </w:r>
          </w:p>
        </w:tc>
        <w:tc>
          <w:tcPr>
            <w:tcW w:type="dxa" w:w="3612"/>
            <w:shd w:val="clear" w:color="auto" w:fill="F5F7F9"/>
          </w:tcPr>
          <w:p>
            <w:pPr>
              <w:spacing w:after="20"/>
            </w:pPr>
            <w:r>
              <w:rPr>
                <w:rFonts w:ascii="Calibri" w:hAnsi="Calibri"/>
                <w:b w:val="0"/>
                <w:i w:val="0"/>
                <w:color w:val="2B2F38"/>
                <w:sz w:val="19"/>
              </w:rPr>
              <w:t>Switch to direct-store-delivery support in the worst five doors</w:t>
            </w:r>
          </w:p>
        </w:tc>
        <w:tc>
          <w:tcPr>
            <w:tcW w:type="dxa" w:w="1711"/>
            <w:shd w:val="clear" w:color="auto" w:fill="F5F7F9"/>
          </w:tcPr>
          <w:p>
            <w:pPr>
              <w:spacing w:after="20"/>
            </w:pPr>
            <w:r>
              <w:rPr>
                <w:rFonts w:ascii="Calibri" w:hAnsi="Calibri"/>
                <w:b w:val="0"/>
                <w:i w:val="0"/>
                <w:color w:val="2B2F38"/>
                <w:sz w:val="19"/>
              </w:rPr>
              <w:t>Customer Logistics</w:t>
            </w:r>
          </w:p>
        </w:tc>
      </w:tr>
      <w:tr>
        <w:tc>
          <w:tcPr>
            <w:tcW w:type="dxa" w:w="2281"/>
            <w:shd w:val="clear" w:color="auto" w:fill="FFFFFF"/>
          </w:tcPr>
          <w:p>
            <w:pPr>
              <w:spacing w:after="20"/>
            </w:pPr>
            <w:r>
              <w:rPr>
                <w:rFonts w:ascii="Calibri" w:hAnsi="Calibri"/>
                <w:b w:val="0"/>
                <w:i w:val="0"/>
                <w:color w:val="2B2F38"/>
                <w:sz w:val="19"/>
              </w:rPr>
              <w:t>Larksfield escalates promotional intensity</w:t>
            </w:r>
          </w:p>
        </w:tc>
        <w:tc>
          <w:tcPr>
            <w:tcW w:type="dxa" w:w="1901"/>
            <w:shd w:val="clear" w:color="auto" w:fill="FFFFFF"/>
          </w:tcPr>
          <w:p>
            <w:pPr>
              <w:spacing w:after="20"/>
            </w:pPr>
            <w:r>
              <w:rPr>
                <w:rFonts w:ascii="Calibri" w:hAnsi="Calibri"/>
                <w:b w:val="0"/>
                <w:i w:val="0"/>
                <w:color w:val="2B2F38"/>
                <w:sz w:val="19"/>
              </w:rPr>
              <w:t>Recovery slows even with shelf restored</w:t>
            </w:r>
          </w:p>
        </w:tc>
        <w:tc>
          <w:tcPr>
            <w:tcW w:type="dxa" w:w="3612"/>
            <w:shd w:val="clear" w:color="auto" w:fill="FFFFFF"/>
          </w:tcPr>
          <w:p>
            <w:pPr>
              <w:spacing w:after="20"/>
            </w:pPr>
            <w:r>
              <w:rPr>
                <w:rFonts w:ascii="Calibri" w:hAnsi="Calibri"/>
                <w:b w:val="0"/>
                <w:i w:val="0"/>
                <w:color w:val="2B2F38"/>
                <w:sz w:val="19"/>
              </w:rPr>
              <w:t>Hold depth cap; compete on display and availability, not price</w:t>
            </w:r>
          </w:p>
        </w:tc>
        <w:tc>
          <w:tcPr>
            <w:tcW w:type="dxa" w:w="1711"/>
            <w:shd w:val="clear" w:color="auto" w:fill="FFFFFF"/>
          </w:tcPr>
          <w:p>
            <w:pPr>
              <w:spacing w:after="20"/>
            </w:pPr>
            <w:r>
              <w:rPr>
                <w:rFonts w:ascii="Calibri" w:hAnsi="Calibri"/>
                <w:b w:val="0"/>
                <w:i w:val="0"/>
                <w:color w:val="2B2F38"/>
                <w:sz w:val="19"/>
              </w:rPr>
              <w:t>NAM</w:t>
            </w:r>
          </w:p>
        </w:tc>
      </w:tr>
      <w:tr>
        <w:tc>
          <w:tcPr>
            <w:tcW w:type="dxa" w:w="2281"/>
            <w:shd w:val="clear" w:color="auto" w:fill="F5F7F9"/>
          </w:tcPr>
          <w:p>
            <w:pPr>
              <w:spacing w:after="20"/>
            </w:pPr>
            <w:r>
              <w:rPr>
                <w:rFonts w:ascii="Calibri" w:hAnsi="Calibri"/>
                <w:b w:val="0"/>
                <w:i w:val="0"/>
                <w:color w:val="2B2F38"/>
                <w:sz w:val="19"/>
              </w:rPr>
              <w:t>2026 hurricane season repeats</w:t>
            </w:r>
          </w:p>
        </w:tc>
        <w:tc>
          <w:tcPr>
            <w:tcW w:type="dxa" w:w="1901"/>
            <w:shd w:val="clear" w:color="auto" w:fill="F5F7F9"/>
          </w:tcPr>
          <w:p>
            <w:pPr>
              <w:spacing w:after="20"/>
            </w:pPr>
            <w:r>
              <w:rPr>
                <w:rFonts w:ascii="Calibri" w:hAnsi="Calibri"/>
                <w:b w:val="0"/>
                <w:i w:val="0"/>
                <w:color w:val="2B2F38"/>
                <w:sz w:val="19"/>
              </w:rPr>
              <w:t>Supply-driven relapse</w:t>
            </w:r>
          </w:p>
        </w:tc>
        <w:tc>
          <w:tcPr>
            <w:tcW w:type="dxa" w:w="3612"/>
            <w:shd w:val="clear" w:color="auto" w:fill="F5F7F9"/>
          </w:tcPr>
          <w:p>
            <w:pPr>
              <w:spacing w:after="20"/>
            </w:pPr>
            <w:r>
              <w:rPr>
                <w:rFonts w:ascii="Calibri" w:hAnsi="Calibri"/>
                <w:b w:val="0"/>
                <w:i w:val="0"/>
                <w:color w:val="2B2F38"/>
                <w:sz w:val="19"/>
              </w:rPr>
              <w:t>Pre-positioned inventory from week 32 (Report 73)</w:t>
            </w:r>
          </w:p>
        </w:tc>
        <w:tc>
          <w:tcPr>
            <w:tcW w:type="dxa" w:w="1711"/>
            <w:shd w:val="clear" w:color="auto" w:fill="F5F7F9"/>
          </w:tcPr>
          <w:p>
            <w:pPr>
              <w:spacing w:after="20"/>
            </w:pPr>
            <w:r>
              <w:rPr>
                <w:rFonts w:ascii="Calibri" w:hAnsi="Calibri"/>
                <w:b w:val="0"/>
                <w:i w:val="0"/>
                <w:color w:val="2B2F38"/>
                <w:sz w:val="19"/>
              </w:rPr>
              <w:t>VP Supply Chain</w:t>
            </w:r>
          </w:p>
        </w:tc>
      </w:tr>
    </w:tbl>
    <w:p>
      <w:pPr>
        <w:keepNext w:val="0"/>
        <w:spacing w:after="60" w:before="0" w:line="274" w:lineRule="auto"/>
      </w:pPr>
    </w:p>
    <w:p>
      <w:pPr>
        <w:keepNext/>
        <w:spacing w:after="60" w:before="180" w:line="274" w:lineRule="auto"/>
      </w:pPr>
      <w:r>
        <w:rPr>
          <w:rFonts w:ascii="Calibri" w:hAnsi="Calibri"/>
          <w:b/>
          <w:i w:val="0"/>
          <w:color w:val="1F2A44"/>
          <w:sz w:val="23"/>
        </w:rPr>
        <w:t>Recommendations &amp; next steps</w:t>
      </w:r>
    </w:p>
    <w:tbl>
      <w:tblPr>
        <w:tblW w:w="9504" w:type="dxa"/>
        <w:jc w:val="left"/>
        <w:tblBorders>
          <w:top w:val="single" w:sz="4" w:color="C9D2DB"/>
          <w:left w:val="single" w:sz="4" w:color="C9D2DB"/>
          <w:bottom w:val="single" w:sz="4" w:color="C9D2DB"/>
          <w:right w:val="single" w:sz="4" w:color="C9D2DB"/>
          <w:insideH w:val="single" w:sz="4" w:color="C9D2DB"/>
          <w:insideV w:val="single" w:sz="4" w:color="C9D2DB"/>
        </w:tblBorders>
        <w:tblLayout w:type="fixed"/>
        <w:tblCellMar>
          <w:top w:w="40" w:type="dxa"/>
          <w:left w:w="72" w:type="dxa"/>
          <w:bottom w:w="40" w:type="dxa"/>
          <w:right w:w="72" w:type="dxa"/>
        </w:tblCellMar>
        <w:tblLook w:firstColumn="1" w:firstRow="1" w:lastColumn="0" w:lastRow="0" w:noHBand="0" w:noVBand="1" w:val="04A0"/>
      </w:tblPr>
      <w:tblGrid>
        <w:gridCol w:w="475"/>
        <w:gridCol w:w="5227"/>
        <w:gridCol w:w="2281"/>
        <w:gridCol w:w="1521"/>
      </w:tblGrid>
      <w:tr>
        <w:tc>
          <w:tcPr>
            <w:tcW w:type="dxa" w:w="475"/>
            <w:shd w:val="clear" w:color="auto" w:fill="1F2A44"/>
          </w:tcPr>
          <w:p>
            <w:pPr>
              <w:spacing w:after="20"/>
            </w:pPr>
            <w:r>
              <w:rPr>
                <w:rFonts w:ascii="Calibri" w:hAnsi="Calibri"/>
                <w:b/>
                <w:i w:val="0"/>
                <w:color w:val="FFFFFF"/>
                <w:sz w:val="18"/>
              </w:rPr>
              <w:t>#</w:t>
            </w:r>
          </w:p>
        </w:tc>
        <w:tc>
          <w:tcPr>
            <w:tcW w:type="dxa" w:w="5227"/>
            <w:shd w:val="clear" w:color="auto" w:fill="1F2A44"/>
          </w:tcPr>
          <w:p>
            <w:pPr>
              <w:spacing w:after="20"/>
            </w:pPr>
            <w:r>
              <w:rPr>
                <w:rFonts w:ascii="Calibri" w:hAnsi="Calibri"/>
                <w:b/>
                <w:i w:val="0"/>
                <w:color w:val="FFFFFF"/>
                <w:sz w:val="18"/>
              </w:rPr>
              <w:t>Action</w:t>
            </w:r>
          </w:p>
        </w:tc>
        <w:tc>
          <w:tcPr>
            <w:tcW w:type="dxa" w:w="2281"/>
            <w:shd w:val="clear" w:color="auto" w:fill="1F2A44"/>
          </w:tcPr>
          <w:p>
            <w:pPr>
              <w:spacing w:after="20"/>
            </w:pPr>
            <w:r>
              <w:rPr>
                <w:rFonts w:ascii="Calibri" w:hAnsi="Calibri"/>
                <w:b/>
                <w:i w:val="0"/>
                <w:color w:val="FFFFFF"/>
                <w:sz w:val="18"/>
              </w:rPr>
              <w:t>Owner</w:t>
            </w:r>
          </w:p>
        </w:tc>
        <w:tc>
          <w:tcPr>
            <w:tcW w:type="dxa" w:w="1521"/>
            <w:shd w:val="clear" w:color="auto" w:fill="1F2A44"/>
          </w:tcPr>
          <w:p>
            <w:pPr>
              <w:spacing w:after="20"/>
              <w:jc w:val="right"/>
            </w:pPr>
            <w:r>
              <w:rPr>
                <w:rFonts w:ascii="Calibri" w:hAnsi="Calibri"/>
                <w:b/>
                <w:i w:val="0"/>
                <w:color w:val="FFFFFF"/>
                <w:sz w:val="18"/>
              </w:rPr>
              <w:t>When</w:t>
            </w:r>
          </w:p>
        </w:tc>
      </w:tr>
      <w:tr>
        <w:tc>
          <w:tcPr>
            <w:tcW w:type="dxa" w:w="475"/>
            <w:shd w:val="clear" w:color="auto" w:fill="FFFFFF"/>
          </w:tcPr>
          <w:p>
            <w:pPr>
              <w:spacing w:after="20"/>
            </w:pPr>
            <w:r>
              <w:rPr>
                <w:rFonts w:ascii="Calibri" w:hAnsi="Calibri"/>
                <w:b w:val="0"/>
                <w:i w:val="0"/>
                <w:color w:val="2B2F38"/>
                <w:sz w:val="19"/>
              </w:rPr>
              <w:t>1</w:t>
            </w:r>
          </w:p>
        </w:tc>
        <w:tc>
          <w:tcPr>
            <w:tcW w:type="dxa" w:w="5227"/>
            <w:shd w:val="clear" w:color="auto" w:fill="FFFFFF"/>
          </w:tcPr>
          <w:p>
            <w:pPr>
              <w:spacing w:after="20"/>
            </w:pPr>
            <w:r>
              <w:rPr>
                <w:rFonts w:ascii="Calibri" w:hAnsi="Calibri"/>
                <w:b w:val="0"/>
                <w:i w:val="0"/>
                <w:color w:val="2B2F38"/>
                <w:sz w:val="19"/>
              </w:rPr>
              <w:t>Fund the merchandising programme in the 14 focus doors for 12 weeks</w:t>
            </w:r>
          </w:p>
        </w:tc>
        <w:tc>
          <w:tcPr>
            <w:tcW w:type="dxa" w:w="2281"/>
            <w:shd w:val="clear" w:color="auto" w:fill="FFFFFF"/>
          </w:tcPr>
          <w:p>
            <w:pPr>
              <w:spacing w:after="20"/>
            </w:pPr>
            <w:r>
              <w:rPr>
                <w:rFonts w:ascii="Calibri" w:hAnsi="Calibri"/>
                <w:b w:val="0"/>
                <w:i w:val="0"/>
                <w:color w:val="2B2F38"/>
                <w:sz w:val="19"/>
              </w:rPr>
              <w:t>CFO</w:t>
            </w:r>
          </w:p>
        </w:tc>
        <w:tc>
          <w:tcPr>
            <w:tcW w:type="dxa" w:w="1521"/>
            <w:shd w:val="clear" w:color="auto" w:fill="FFFFFF"/>
          </w:tcPr>
          <w:p>
            <w:pPr>
              <w:spacing w:after="20"/>
              <w:jc w:val="right"/>
            </w:pPr>
            <w:r>
              <w:rPr>
                <w:rFonts w:ascii="Calibri" w:hAnsi="Calibri"/>
                <w:b w:val="0"/>
                <w:i w:val="0"/>
                <w:color w:val="2B2F38"/>
                <w:sz w:val="19"/>
              </w:rPr>
              <w:t>By Aug 1</w:t>
            </w:r>
          </w:p>
        </w:tc>
      </w:tr>
      <w:tr>
        <w:tc>
          <w:tcPr>
            <w:tcW w:type="dxa" w:w="475"/>
            <w:shd w:val="clear" w:color="auto" w:fill="F5F7F9"/>
          </w:tcPr>
          <w:p>
            <w:pPr>
              <w:spacing w:after="20"/>
            </w:pPr>
            <w:r>
              <w:rPr>
                <w:rFonts w:ascii="Calibri" w:hAnsi="Calibri"/>
                <w:b w:val="0"/>
                <w:i w:val="0"/>
                <w:color w:val="2B2F38"/>
                <w:sz w:val="19"/>
              </w:rPr>
              <w:t>2</w:t>
            </w:r>
          </w:p>
        </w:tc>
        <w:tc>
          <w:tcPr>
            <w:tcW w:type="dxa" w:w="5227"/>
            <w:shd w:val="clear" w:color="auto" w:fill="F5F7F9"/>
          </w:tcPr>
          <w:p>
            <w:pPr>
              <w:spacing w:after="20"/>
            </w:pPr>
            <w:r>
              <w:rPr>
                <w:rFonts w:ascii="Calibri" w:hAnsi="Calibri"/>
                <w:b w:val="0"/>
                <w:i w:val="0"/>
                <w:color w:val="2B2F38"/>
                <w:sz w:val="19"/>
              </w:rPr>
              <w:t>Take facing restoration into the Walmart August line review as a non-negotiable</w:t>
            </w:r>
          </w:p>
        </w:tc>
        <w:tc>
          <w:tcPr>
            <w:tcW w:type="dxa" w:w="2281"/>
            <w:shd w:val="clear" w:color="auto" w:fill="F5F7F9"/>
          </w:tcPr>
          <w:p>
            <w:pPr>
              <w:spacing w:after="20"/>
            </w:pPr>
            <w:r>
              <w:rPr>
                <w:rFonts w:ascii="Calibri" w:hAnsi="Calibri"/>
                <w:b w:val="0"/>
                <w:i w:val="0"/>
                <w:color w:val="2B2F38"/>
                <w:sz w:val="19"/>
              </w:rPr>
              <w:t>Marcus Boudreaux</w:t>
            </w:r>
          </w:p>
        </w:tc>
        <w:tc>
          <w:tcPr>
            <w:tcW w:type="dxa" w:w="1521"/>
            <w:shd w:val="clear" w:color="auto" w:fill="F5F7F9"/>
          </w:tcPr>
          <w:p>
            <w:pPr>
              <w:spacing w:after="20"/>
              <w:jc w:val="right"/>
            </w:pPr>
            <w:r>
              <w:rPr>
                <w:rFonts w:ascii="Calibri" w:hAnsi="Calibri"/>
                <w:b w:val="0"/>
                <w:i w:val="0"/>
                <w:color w:val="2B2F38"/>
                <w:sz w:val="19"/>
              </w:rPr>
              <w:t>Aug line review</w:t>
            </w:r>
          </w:p>
        </w:tc>
      </w:tr>
      <w:tr>
        <w:tc>
          <w:tcPr>
            <w:tcW w:type="dxa" w:w="475"/>
            <w:shd w:val="clear" w:color="auto" w:fill="FFFFFF"/>
          </w:tcPr>
          <w:p>
            <w:pPr>
              <w:spacing w:after="20"/>
            </w:pPr>
            <w:r>
              <w:rPr>
                <w:rFonts w:ascii="Calibri" w:hAnsi="Calibri"/>
                <w:b w:val="0"/>
                <w:i w:val="0"/>
                <w:color w:val="2B2F38"/>
                <w:sz w:val="19"/>
              </w:rPr>
              <w:t>3</w:t>
            </w:r>
          </w:p>
        </w:tc>
        <w:tc>
          <w:tcPr>
            <w:tcW w:type="dxa" w:w="5227"/>
            <w:shd w:val="clear" w:color="auto" w:fill="FFFFFF"/>
          </w:tcPr>
          <w:p>
            <w:pPr>
              <w:spacing w:after="20"/>
            </w:pPr>
            <w:r>
              <w:rPr>
                <w:rFonts w:ascii="Calibri" w:hAnsi="Calibri"/>
                <w:b w:val="0"/>
                <w:i w:val="0"/>
                <w:color w:val="2B2F38"/>
                <w:sz w:val="19"/>
              </w:rPr>
              <w:t>Release the Louisiana retail-media injection from week 3, not week 1</w:t>
            </w:r>
          </w:p>
        </w:tc>
        <w:tc>
          <w:tcPr>
            <w:tcW w:type="dxa" w:w="2281"/>
            <w:shd w:val="clear" w:color="auto" w:fill="FFFFFF"/>
          </w:tcPr>
          <w:p>
            <w:pPr>
              <w:spacing w:after="20"/>
            </w:pPr>
            <w:r>
              <w:rPr>
                <w:rFonts w:ascii="Calibri" w:hAnsi="Calibri"/>
                <w:b w:val="0"/>
                <w:i w:val="0"/>
                <w:color w:val="2B2F38"/>
                <w:sz w:val="19"/>
              </w:rPr>
              <w:t>Tasha Brooks</w:t>
            </w:r>
          </w:p>
        </w:tc>
        <w:tc>
          <w:tcPr>
            <w:tcW w:type="dxa" w:w="1521"/>
            <w:shd w:val="clear" w:color="auto" w:fill="FFFFFF"/>
          </w:tcPr>
          <w:p>
            <w:pPr>
              <w:spacing w:after="20"/>
              <w:jc w:val="right"/>
            </w:pPr>
            <w:r>
              <w:rPr>
                <w:rFonts w:ascii="Calibri" w:hAnsi="Calibri"/>
                <w:b w:val="0"/>
                <w:i w:val="0"/>
                <w:color w:val="2B2F38"/>
                <w:sz w:val="19"/>
              </w:rPr>
              <w:t>By Aug 15</w:t>
            </w:r>
          </w:p>
        </w:tc>
      </w:tr>
      <w:tr>
        <w:tc>
          <w:tcPr>
            <w:tcW w:type="dxa" w:w="475"/>
            <w:shd w:val="clear" w:color="auto" w:fill="F5F7F9"/>
          </w:tcPr>
          <w:p>
            <w:pPr>
              <w:spacing w:after="20"/>
            </w:pPr>
            <w:r>
              <w:rPr>
                <w:rFonts w:ascii="Calibri" w:hAnsi="Calibri"/>
                <w:b w:val="0"/>
                <w:i w:val="0"/>
                <w:color w:val="2B2F38"/>
                <w:sz w:val="19"/>
              </w:rPr>
              <w:t>4</w:t>
            </w:r>
          </w:p>
        </w:tc>
        <w:tc>
          <w:tcPr>
            <w:tcW w:type="dxa" w:w="5227"/>
            <w:shd w:val="clear" w:color="auto" w:fill="F5F7F9"/>
          </w:tcPr>
          <w:p>
            <w:pPr>
              <w:spacing w:after="20"/>
            </w:pPr>
            <w:r>
              <w:rPr>
                <w:rFonts w:ascii="Calibri" w:hAnsi="Calibri"/>
                <w:b w:val="0"/>
                <w:i w:val="0"/>
                <w:color w:val="2B2F38"/>
                <w:sz w:val="19"/>
              </w:rPr>
              <w:t>Stand up weekly facing and OSA monitoring in Birmingham and Memphis</w:t>
            </w:r>
          </w:p>
        </w:tc>
        <w:tc>
          <w:tcPr>
            <w:tcW w:type="dxa" w:w="2281"/>
            <w:shd w:val="clear" w:color="auto" w:fill="F5F7F9"/>
          </w:tcPr>
          <w:p>
            <w:pPr>
              <w:spacing w:after="20"/>
            </w:pPr>
            <w:r>
              <w:rPr>
                <w:rFonts w:ascii="Calibri" w:hAnsi="Calibri"/>
                <w:b w:val="0"/>
                <w:i w:val="0"/>
                <w:color w:val="2B2F38"/>
                <w:sz w:val="19"/>
              </w:rPr>
              <w:t>Jordan Hsu</w:t>
            </w:r>
          </w:p>
        </w:tc>
        <w:tc>
          <w:tcPr>
            <w:tcW w:type="dxa" w:w="1521"/>
            <w:shd w:val="clear" w:color="auto" w:fill="F5F7F9"/>
          </w:tcPr>
          <w:p>
            <w:pPr>
              <w:spacing w:after="20"/>
              <w:jc w:val="right"/>
            </w:pPr>
            <w:r>
              <w:rPr>
                <w:rFonts w:ascii="Calibri" w:hAnsi="Calibri"/>
                <w:b w:val="0"/>
                <w:i w:val="0"/>
                <w:color w:val="2B2F38"/>
                <w:sz w:val="19"/>
              </w:rPr>
              <w:t>By Aug 15</w:t>
            </w:r>
          </w:p>
        </w:tc>
      </w:tr>
      <w:tr>
        <w:tc>
          <w:tcPr>
            <w:tcW w:type="dxa" w:w="475"/>
            <w:shd w:val="clear" w:color="auto" w:fill="FFFFFF"/>
          </w:tcPr>
          <w:p>
            <w:pPr>
              <w:spacing w:after="20"/>
            </w:pPr>
            <w:r>
              <w:rPr>
                <w:rFonts w:ascii="Calibri" w:hAnsi="Calibri"/>
                <w:b w:val="0"/>
                <w:i w:val="0"/>
                <w:color w:val="2B2F38"/>
                <w:sz w:val="19"/>
              </w:rPr>
              <w:t>5</w:t>
            </w:r>
          </w:p>
        </w:tc>
        <w:tc>
          <w:tcPr>
            <w:tcW w:type="dxa" w:w="5227"/>
            <w:shd w:val="clear" w:color="auto" w:fill="FFFFFF"/>
          </w:tcPr>
          <w:p>
            <w:pPr>
              <w:spacing w:after="20"/>
            </w:pPr>
            <w:r>
              <w:rPr>
                <w:rFonts w:ascii="Calibri" w:hAnsi="Calibri"/>
                <w:b w:val="0"/>
                <w:i w:val="0"/>
                <w:color w:val="2B2F38"/>
                <w:sz w:val="19"/>
              </w:rPr>
              <w:t>Re-read share, facings and OSA at week 12 and decide whether leg 3 scales</w:t>
            </w:r>
          </w:p>
        </w:tc>
        <w:tc>
          <w:tcPr>
            <w:tcW w:type="dxa" w:w="2281"/>
            <w:shd w:val="clear" w:color="auto" w:fill="FFFFFF"/>
          </w:tcPr>
          <w:p>
            <w:pPr>
              <w:spacing w:after="20"/>
            </w:pPr>
            <w:r>
              <w:rPr>
                <w:rFonts w:ascii="Calibri" w:hAnsi="Calibri"/>
                <w:b w:val="0"/>
                <w:i w:val="0"/>
                <w:color w:val="2B2F38"/>
                <w:sz w:val="19"/>
              </w:rPr>
              <w:t>Jordan Hsu</w:t>
            </w:r>
          </w:p>
        </w:tc>
        <w:tc>
          <w:tcPr>
            <w:tcW w:type="dxa" w:w="1521"/>
            <w:shd w:val="clear" w:color="auto" w:fill="FFFFFF"/>
          </w:tcPr>
          <w:p>
            <w:pPr>
              <w:spacing w:after="20"/>
              <w:jc w:val="right"/>
            </w:pPr>
            <w:r>
              <w:rPr>
                <w:rFonts w:ascii="Calibri" w:hAnsi="Calibri"/>
                <w:b w:val="0"/>
                <w:i w:val="0"/>
                <w:color w:val="2B2F38"/>
                <w:sz w:val="19"/>
              </w:rPr>
              <w:t>Late October 2026</w:t>
            </w:r>
          </w:p>
        </w:tc>
      </w:tr>
    </w:tbl>
    <w:p>
      <w:pPr>
        <w:keepNext w:val="0"/>
        <w:spacing w:after="60" w:before="0" w:line="274" w:lineRule="auto"/>
      </w:pPr>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pPr>
    <w:r>
      <w:rPr>
        <w:rFonts w:ascii="Calibri" w:hAnsi="Calibri"/>
        <w:color w:val="5B6472"/>
        <w:sz w:val="15"/>
      </w:rPr>
      <w:t xml:space="preserve">Internal · Confidential — Acme Corp synthetic demo data. Fictional; not for real decision-making.     </w:t>
    </w:r>
    <w:r>
      <w:rPr>
        <w:rFonts w:ascii="Calibri" w:hAnsi="Calibri"/>
        <w:b/>
        <w:color w:val="5B6472"/>
        <w:sz w:val="15"/>
      </w:rPr>
      <w:t>LA 90-day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Calibri" w:hAnsi="Calibri"/>
      <w:color w:val="2B2F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Louisiana Recovery — 90-Day Action Plan</dc:title>
  <dc:subject/>
  <dc:creator>Acme Corp (synthetic)</dc:creator>
  <cp:keywords/>
  <dc:description>Internal action plan</dc:description>
  <cp:lastModifiedBy/>
  <cp:revision>1</cp:revision>
  <dcterms:created xsi:type="dcterms:W3CDTF">2013-12-23T23:15:00Z</dcterms:created>
  <dcterms:modified xsi:type="dcterms:W3CDTF">2013-12-23T23:15:00Z</dcterms:modified>
  <cp:category/>
</cp:coreProperties>
</file>