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274" w:lineRule="auto"/>
      </w:pPr>
      <w:r>
        <w:rPr>
          <w:rFonts w:ascii="Calibri" w:hAnsi="Calibri"/>
          <w:b/>
          <w:i w:val="0"/>
          <w:color w:val="2E7D75"/>
          <w:sz w:val="19"/>
        </w:rPr>
        <w:t>PREPARATION BRIEF</w:t>
      </w:r>
    </w:p>
    <w:p>
      <w:pPr>
        <w:keepNext w:val="0"/>
        <w:spacing w:after="120" w:before="0" w:line="259" w:lineRule="auto"/>
      </w:pPr>
      <w:r>
        <w:rPr>
          <w:rFonts w:ascii="Calibri" w:hAnsi="Calibri"/>
          <w:b/>
          <w:i w:val="0"/>
          <w:color w:val="1F2A44"/>
          <w:sz w:val="46"/>
        </w:rPr>
        <w:t>Kroger November 2026 Line Review — Preparation Brief</w:t>
      </w:r>
    </w:p>
    <w:p>
      <w:pPr>
        <w:keepNext w:val="0"/>
        <w:spacing w:after="160" w:before="0" w:line="288" w:lineRule="auto"/>
      </w:pPr>
      <w:r>
        <w:rPr>
          <w:rFonts w:ascii="Calibri" w:hAnsi="Calibri"/>
          <w:b w:val="0"/>
          <w:i w:val="0"/>
          <w:color w:val="5B6472"/>
          <w:sz w:val="26"/>
        </w:rPr>
        <w:t>The switching data, the division picture, and the three questions we need answered before we build the pack</w:t>
      </w:r>
    </w:p>
    <w:p>
      <w:pPr>
        <w:spacing w:after="120"/>
        <w:pBdr>
          <w:bottom w:val="single" w:sz="6" w:space="1" w:color="C9D2DB"/>
        </w:pBdr>
      </w:pPr>
    </w:p>
    <w:p>
      <w:pPr>
        <w:keepNext w:val="0"/>
        <w:spacing w:after="40" w:before="0" w:line="274" w:lineRule="auto"/>
      </w:pPr>
      <w:r>
        <w:rPr>
          <w:rFonts w:ascii="Calibri" w:hAnsi="Calibri"/>
          <w:b/>
          <w:i w:val="0"/>
          <w:color w:val="5B6472"/>
          <w:sz w:val="20"/>
        </w:rPr>
        <w:t>Priya Raman, Category Manager — Kroger</w:t>
      </w:r>
    </w:p>
    <w:p>
      <w:pPr>
        <w:keepNext w:val="0"/>
        <w:spacing w:after="20" w:before="0" w:line="274" w:lineRule="auto"/>
      </w:pPr>
      <w:r>
        <w:rPr>
          <w:rFonts w:ascii="Calibri" w:hAnsi="Calibri"/>
          <w:b w:val="0"/>
          <w:i w:val="0"/>
          <w:color w:val="5B6472"/>
          <w:sz w:val="19"/>
        </w:rPr>
        <w:t>Meeting: Kroger November 2026 line review</w:t>
      </w:r>
    </w:p>
    <w:p>
      <w:pPr>
        <w:keepNext w:val="0"/>
        <w:spacing w:after="20" w:before="0" w:line="274" w:lineRule="auto"/>
      </w:pPr>
      <w:r>
        <w:rPr>
          <w:rFonts w:ascii="Calibri" w:hAnsi="Calibri"/>
          <w:b w:val="0"/>
          <w:i w:val="0"/>
          <w:color w:val="5B6472"/>
          <w:sz w:val="19"/>
        </w:rPr>
        <w:t>Pack due: October 2026 · This brief: July 2026</w:t>
      </w:r>
    </w:p>
    <w:p>
      <w:pPr>
        <w:keepNext w:val="0"/>
        <w:spacing w:after="20" w:before="0" w:line="274" w:lineRule="auto"/>
      </w:pPr>
      <w:r>
        <w:rPr>
          <w:rFonts w:ascii="Calibri" w:hAnsi="Calibri"/>
          <w:b w:val="0"/>
          <w:i w:val="0"/>
          <w:color w:val="5B6472"/>
          <w:sz w:val="19"/>
        </w:rPr>
        <w:t>Companion documents: Reports 59 and 64</w:t>
      </w:r>
    </w:p>
    <w:p>
      <w:pPr>
        <w:keepNext w:val="0"/>
        <w:spacing w:after="200" w:before="0" w:line="274" w:lineRule="auto"/>
      </w:pPr>
      <w:r>
        <w:rPr>
          <w:rFonts w:ascii="Calibri" w:hAnsi="Calibri"/>
          <w:b w:val="0"/>
          <w:i w:val="0"/>
          <w:color w:val="5B6472"/>
          <w:sz w:val="19"/>
        </w:rPr>
        <w:t>Internal preparation brief · Internal · Confidential — synthetic demo data</w:t>
      </w:r>
    </w:p>
    <w:p>
      <w:pPr>
        <w:keepNext/>
        <w:spacing w:after="60" w:before="180" w:line="274" w:lineRule="auto"/>
      </w:pPr>
      <w:r>
        <w:rPr>
          <w:rFonts w:ascii="Calibri" w:hAnsi="Calibri"/>
          <w:b/>
          <w:i w:val="0"/>
          <w:color w:val="1F2A44"/>
          <w:sz w:val="23"/>
        </w:rPr>
        <w:t>At a glance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96" w:type="dxa"/>
          <w:bottom w:w="40" w:type="dxa"/>
          <w:right w:w="96" w:type="dxa"/>
        </w:tblCellMar>
        <w:tblLook w:firstColumn="1" w:firstRow="1" w:lastColumn="0" w:lastRow="0" w:noHBand="0" w:noVBand="1" w:val="04A0"/>
      </w:tblPr>
      <w:tblGrid>
        <w:gridCol w:w="2376"/>
        <w:gridCol w:w="2376"/>
        <w:gridCol w:w="2376"/>
        <w:gridCol w:w="2376"/>
      </w:tblGrid>
      <w:tr>
        <w:tc>
          <w:tcPr>
            <w:tcW w:type="dxa" w:w="2376"/>
            <w:shd w:val="clear" w:color="auto" w:fill="F5F7F9"/>
          </w:tcPr>
          <w:p>
            <w:pPr>
              <w:spacing w:after="40"/>
            </w:pPr>
            <w:r>
              <w:rPr>
                <w:rFonts w:ascii="Calibri" w:hAnsi="Calibri"/>
                <w:b/>
                <w:i w:val="0"/>
                <w:color w:val="1F2A44"/>
                <w:sz w:val="34"/>
              </w:rPr>
              <w:t>$93M</w:t>
            </w:r>
          </w:p>
          <w:p>
            <w:pPr>
              <w:spacing w:after="40"/>
            </w:pPr>
            <w:r>
              <w:rPr>
                <w:rFonts w:ascii="Calibri" w:hAnsi="Calibri"/>
                <w:b/>
                <w:i w:val="0"/>
                <w:color w:val="5B6472"/>
                <w:sz w:val="16"/>
              </w:rPr>
              <w:t>ACME REVENUE AT KROGER</w:t>
            </w:r>
          </w:p>
        </w:tc>
        <w:tc>
          <w:tcPr>
            <w:tcW w:type="dxa" w:w="2376"/>
            <w:shd w:val="clear" w:color="auto" w:fill="F5F7F9"/>
          </w:tcPr>
          <w:p>
            <w:pPr>
              <w:spacing w:after="40"/>
            </w:pPr>
            <w:r>
              <w:rPr>
                <w:rFonts w:ascii="Calibri" w:hAnsi="Calibri"/>
                <w:b/>
                <w:i w:val="0"/>
                <w:color w:val="1F2A44"/>
                <w:sz w:val="34"/>
              </w:rPr>
              <w:t>-5.4%</w:t>
            </w:r>
          </w:p>
          <w:p>
            <w:pPr>
              <w:spacing w:after="40"/>
            </w:pPr>
            <w:r>
              <w:rPr>
                <w:rFonts w:ascii="Calibri" w:hAnsi="Calibri"/>
                <w:b/>
                <w:i w:val="0"/>
                <w:color w:val="5B6472"/>
                <w:sz w:val="16"/>
              </w:rPr>
              <w:t>Q1 VS PLAN</w:t>
            </w:r>
          </w:p>
        </w:tc>
        <w:tc>
          <w:tcPr>
            <w:tcW w:type="dxa" w:w="2376"/>
            <w:shd w:val="clear" w:color="auto" w:fill="F5F7F9"/>
          </w:tcPr>
          <w:p>
            <w:pPr>
              <w:spacing w:after="40"/>
            </w:pPr>
            <w:r>
              <w:rPr>
                <w:rFonts w:ascii="Calibri" w:hAnsi="Calibri"/>
                <w:b/>
                <w:i w:val="0"/>
                <w:color w:val="1F2A44"/>
                <w:sz w:val="34"/>
              </w:rPr>
              <w:t>0.77</w:t>
            </w:r>
          </w:p>
          <w:p>
            <w:pPr>
              <w:spacing w:after="40"/>
            </w:pPr>
            <w:r>
              <w:rPr>
                <w:rFonts w:ascii="Calibri" w:hAnsi="Calibri"/>
                <w:b/>
                <w:i w:val="0"/>
                <w:color w:val="5B6472"/>
                <w:sz w:val="16"/>
              </w:rPr>
              <w:t>KROGER PRECISION RATIO</w:t>
            </w:r>
          </w:p>
        </w:tc>
        <w:tc>
          <w:tcPr>
            <w:tcW w:type="dxa" w:w="2376"/>
            <w:shd w:val="clear" w:color="auto" w:fill="F5F7F9"/>
          </w:tcPr>
          <w:p>
            <w:pPr>
              <w:spacing w:after="40"/>
            </w:pPr>
            <w:r>
              <w:rPr>
                <w:rFonts w:ascii="Calibri" w:hAnsi="Calibri"/>
                <w:b/>
                <w:i w:val="0"/>
                <w:color w:val="1F2A44"/>
                <w:sz w:val="34"/>
              </w:rPr>
              <w:t>3</w:t>
            </w:r>
          </w:p>
          <w:p>
            <w:pPr>
              <w:spacing w:after="40"/>
            </w:pPr>
            <w:r>
              <w:rPr>
                <w:rFonts w:ascii="Calibri" w:hAnsi="Calibri"/>
                <w:b/>
                <w:i w:val="0"/>
                <w:color w:val="5B6472"/>
                <w:sz w:val="16"/>
              </w:rPr>
              <w:t>OPEN QUESTIONS</w:t>
            </w:r>
          </w:p>
        </w:tc>
      </w:tr>
    </w:tbl>
    <w:p>
      <w:pPr>
        <w:keepNext w:val="0"/>
        <w:spacing w:after="80" w:before="0" w:line="274" w:lineRule="auto"/>
      </w:pPr>
    </w:p>
    <w:p>
      <w:pPr>
        <w:keepNext/>
        <w:spacing w:after="40" w:before="240" w:line="274" w:lineRule="auto"/>
      </w:pPr>
      <w:r>
        <w:rPr>
          <w:rFonts w:ascii="Calibri" w:hAnsi="Calibri"/>
          <w:b/>
          <w:i w:val="0"/>
          <w:color w:val="2E7D75"/>
          <w:sz w:val="18"/>
        </w:rPr>
        <w:t>PURPOSE</w:t>
      </w:r>
    </w:p>
    <w:p>
      <w:pPr>
        <w:keepNext/>
        <w:spacing w:after="100" w:before="0" w:line="274" w:lineRule="auto"/>
      </w:pPr>
      <w:r>
        <w:rPr>
          <w:rFonts w:ascii="Calibri" w:hAnsi="Calibri"/>
          <w:b/>
          <w:i w:val="0"/>
          <w:color w:val="1F2A44"/>
          <w:sz w:val="31"/>
        </w:rPr>
        <w:t>1 · What this brief is for</w:t>
      </w:r>
    </w:p>
    <w:p>
      <w:pPr>
        <w:keepNext w:val="0"/>
        <w:spacing w:after="120" w:before="0" w:line="274" w:lineRule="auto"/>
      </w:pPr>
      <w:r>
        <w:rPr>
          <w:rFonts w:ascii="Calibri" w:hAnsi="Calibri"/>
          <w:b w:val="0"/>
          <w:i w:val="0"/>
          <w:color w:val="2B2F38"/>
          <w:sz w:val="21"/>
        </w:rPr>
        <w:t>The November line-review pack is due in October. This brief sets out what we already know, what the switching study tells us, and the three analytical questions that need answering before the pack is built — so that we are not doing the analysis in the last week, which is what happened last cycle.</w:t>
      </w:r>
    </w:p>
    <w:p>
      <w:pPr>
        <w:keepNext/>
        <w:spacing w:after="40" w:before="240" w:line="274" w:lineRule="auto"/>
      </w:pPr>
      <w:r>
        <w:rPr>
          <w:rFonts w:ascii="Calibri" w:hAnsi="Calibri"/>
          <w:b/>
          <w:i w:val="0"/>
          <w:color w:val="2E7D75"/>
          <w:sz w:val="18"/>
        </w:rPr>
        <w:t>THE ACCOUNT</w:t>
      </w:r>
    </w:p>
    <w:p>
      <w:pPr>
        <w:keepNext/>
        <w:spacing w:after="100" w:before="0" w:line="274" w:lineRule="auto"/>
      </w:pPr>
      <w:r>
        <w:rPr>
          <w:rFonts w:ascii="Calibri" w:hAnsi="Calibri"/>
          <w:b/>
          <w:i w:val="0"/>
          <w:color w:val="1F2A44"/>
          <w:sz w:val="31"/>
        </w:rPr>
        <w:t>2 · Where Kroger sits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421"/>
        <w:gridCol w:w="2091"/>
        <w:gridCol w:w="3992"/>
      </w:tblGrid>
      <w:tr>
        <w:tc>
          <w:tcPr>
            <w:tcW w:type="dxa" w:w="3421"/>
            <w:shd w:val="clear" w:color="auto" w:fill="1F2A44"/>
          </w:tcPr>
          <w:p>
            <w:pPr>
              <w:spacing w:after="20"/>
            </w:pPr>
            <w:r>
              <w:rPr>
                <w:rFonts w:ascii="Calibri" w:hAnsi="Calibri"/>
                <w:b/>
                <w:i w:val="0"/>
                <w:color w:val="FFFFFF"/>
                <w:sz w:val="18"/>
              </w:rPr>
              <w:t>Measure</w:t>
            </w:r>
          </w:p>
        </w:tc>
        <w:tc>
          <w:tcPr>
            <w:tcW w:type="dxa" w:w="2091"/>
            <w:shd w:val="clear" w:color="auto" w:fill="1F2A44"/>
          </w:tcPr>
          <w:p>
            <w:pPr>
              <w:spacing w:after="20"/>
              <w:jc w:val="right"/>
            </w:pPr>
            <w:r>
              <w:rPr>
                <w:rFonts w:ascii="Calibri" w:hAnsi="Calibri"/>
                <w:b/>
                <w:i w:val="0"/>
                <w:color w:val="FFFFFF"/>
                <w:sz w:val="18"/>
              </w:rPr>
              <w:t>Value</w:t>
            </w:r>
          </w:p>
        </w:tc>
        <w:tc>
          <w:tcPr>
            <w:tcW w:type="dxa" w:w="3992"/>
            <w:shd w:val="clear" w:color="auto" w:fill="1F2A44"/>
          </w:tcPr>
          <w:p>
            <w:pPr>
              <w:spacing w:after="20"/>
              <w:jc w:val="right"/>
            </w:pPr>
            <w:r>
              <w:rPr>
                <w:rFonts w:ascii="Calibri" w:hAnsi="Calibri"/>
                <w:b/>
                <w:i w:val="0"/>
                <w:color w:val="FFFFFF"/>
                <w:sz w:val="18"/>
              </w:rPr>
              <w:t>Read</w:t>
            </w:r>
          </w:p>
        </w:tc>
      </w:tr>
      <w:tr>
        <w:tc>
          <w:tcPr>
            <w:tcW w:type="dxa" w:w="3421"/>
            <w:shd w:val="clear" w:color="auto" w:fill="FFFFFF"/>
          </w:tcPr>
          <w:p>
            <w:pPr>
              <w:spacing w:after="20"/>
            </w:pPr>
            <w:r>
              <w:rPr>
                <w:rFonts w:ascii="Calibri" w:hAnsi="Calibri"/>
                <w:b w:val="0"/>
                <w:i w:val="0"/>
                <w:color w:val="2B2F38"/>
                <w:sz w:val="19"/>
              </w:rPr>
              <w:t>Acme FY25 revenue</w:t>
            </w:r>
          </w:p>
        </w:tc>
        <w:tc>
          <w:tcPr>
            <w:tcW w:type="dxa" w:w="2091"/>
            <w:shd w:val="clear" w:color="auto" w:fill="FFFFFF"/>
          </w:tcPr>
          <w:p>
            <w:pPr>
              <w:spacing w:after="20"/>
              <w:jc w:val="right"/>
            </w:pPr>
            <w:r>
              <w:rPr>
                <w:rFonts w:ascii="Calibri" w:hAnsi="Calibri"/>
                <w:b w:val="0"/>
                <w:i w:val="0"/>
                <w:color w:val="2B2F38"/>
                <w:sz w:val="19"/>
              </w:rPr>
              <w:t>$93M</w:t>
            </w:r>
          </w:p>
        </w:tc>
        <w:tc>
          <w:tcPr>
            <w:tcW w:type="dxa" w:w="3992"/>
            <w:shd w:val="clear" w:color="auto" w:fill="FFFFFF"/>
          </w:tcPr>
          <w:p>
            <w:pPr>
              <w:spacing w:after="20"/>
              <w:jc w:val="right"/>
            </w:pPr>
            <w:r>
              <w:rPr>
                <w:rFonts w:ascii="Calibri" w:hAnsi="Calibri"/>
                <w:b w:val="0"/>
                <w:i w:val="0"/>
                <w:color w:val="2B2F38"/>
                <w:sz w:val="19"/>
              </w:rPr>
              <w:t>Second-largest customer</w:t>
            </w:r>
          </w:p>
        </w:tc>
      </w:tr>
      <w:tr>
        <w:tc>
          <w:tcPr>
            <w:tcW w:type="dxa" w:w="3421"/>
            <w:shd w:val="clear" w:color="auto" w:fill="F5F7F9"/>
          </w:tcPr>
          <w:p>
            <w:pPr>
              <w:spacing w:after="20"/>
            </w:pPr>
            <w:r>
              <w:rPr>
                <w:rFonts w:ascii="Calibri" w:hAnsi="Calibri"/>
                <w:b w:val="0"/>
                <w:i w:val="0"/>
                <w:color w:val="2B2F38"/>
                <w:sz w:val="19"/>
              </w:rPr>
              <w:t>ACV weight</w:t>
            </w:r>
          </w:p>
        </w:tc>
        <w:tc>
          <w:tcPr>
            <w:tcW w:type="dxa" w:w="2091"/>
            <w:shd w:val="clear" w:color="auto" w:fill="F5F7F9"/>
          </w:tcPr>
          <w:p>
            <w:pPr>
              <w:spacing w:after="20"/>
              <w:jc w:val="right"/>
            </w:pPr>
            <w:r>
              <w:rPr>
                <w:rFonts w:ascii="Calibri" w:hAnsi="Calibri"/>
                <w:b w:val="0"/>
                <w:i w:val="0"/>
                <w:color w:val="2B2F38"/>
                <w:sz w:val="19"/>
              </w:rPr>
              <w:t>10.8%</w:t>
            </w:r>
          </w:p>
        </w:tc>
        <w:tc>
          <w:tcPr>
            <w:tcW w:type="dxa" w:w="3992"/>
            <w:shd w:val="clear" w:color="auto" w:fill="F5F7F9"/>
          </w:tcPr>
          <w:p>
            <w:pPr>
              <w:spacing w:after="20"/>
              <w:jc w:val="right"/>
            </w:pPr>
            <w:r>
              <w:rPr>
                <w:rFonts w:ascii="Calibri" w:hAnsi="Calibri"/>
                <w:b w:val="0"/>
                <w:i w:val="0"/>
                <w:color w:val="2B2F38"/>
                <w:sz w:val="19"/>
              </w:rPr>
              <w:t>Grocery National</w:t>
            </w:r>
          </w:p>
        </w:tc>
      </w:tr>
      <w:tr>
        <w:tc>
          <w:tcPr>
            <w:tcW w:type="dxa" w:w="3421"/>
            <w:shd w:val="clear" w:color="auto" w:fill="FFFFFF"/>
          </w:tcPr>
          <w:p>
            <w:pPr>
              <w:spacing w:after="20"/>
            </w:pPr>
            <w:r>
              <w:rPr>
                <w:rFonts w:ascii="Calibri" w:hAnsi="Calibri"/>
                <w:b w:val="0"/>
                <w:i w:val="0"/>
                <w:color w:val="2B2F38"/>
                <w:sz w:val="19"/>
              </w:rPr>
              <w:t>Q1 FY26 revenue vs plan</w:t>
            </w:r>
          </w:p>
        </w:tc>
        <w:tc>
          <w:tcPr>
            <w:tcW w:type="dxa" w:w="2091"/>
            <w:shd w:val="clear" w:color="auto" w:fill="FFFFFF"/>
          </w:tcPr>
          <w:p>
            <w:pPr>
              <w:spacing w:after="20"/>
              <w:jc w:val="right"/>
            </w:pPr>
            <w:r>
              <w:rPr>
                <w:rFonts w:ascii="Calibri" w:hAnsi="Calibri"/>
                <w:b w:val="0"/>
                <w:i w:val="0"/>
                <w:color w:val="2B2F38"/>
                <w:sz w:val="19"/>
              </w:rPr>
              <w:t>-5.4%</w:t>
            </w:r>
          </w:p>
        </w:tc>
        <w:tc>
          <w:tcPr>
            <w:tcW w:type="dxa" w:w="3992"/>
            <w:shd w:val="clear" w:color="auto" w:fill="FFFFFF"/>
          </w:tcPr>
          <w:p>
            <w:pPr>
              <w:spacing w:after="20"/>
              <w:jc w:val="right"/>
            </w:pPr>
            <w:r>
              <w:rPr>
                <w:rFonts w:ascii="Calibri" w:hAnsi="Calibri"/>
                <w:b w:val="0"/>
                <w:i w:val="0"/>
                <w:color w:val="2B2F38"/>
                <w:sz w:val="19"/>
              </w:rPr>
              <w:t>In line with the portfolio</w:t>
            </w:r>
          </w:p>
        </w:tc>
      </w:tr>
      <w:tr>
        <w:tc>
          <w:tcPr>
            <w:tcW w:type="dxa" w:w="3421"/>
            <w:shd w:val="clear" w:color="auto" w:fill="F5F7F9"/>
          </w:tcPr>
          <w:p>
            <w:pPr>
              <w:spacing w:after="20"/>
            </w:pPr>
            <w:r>
              <w:rPr>
                <w:rFonts w:ascii="Calibri" w:hAnsi="Calibri"/>
                <w:b w:val="0"/>
                <w:i w:val="0"/>
                <w:color w:val="2B2F38"/>
                <w:sz w:val="19"/>
              </w:rPr>
              <w:t>Q1 trade events</w:t>
            </w:r>
          </w:p>
        </w:tc>
        <w:tc>
          <w:tcPr>
            <w:tcW w:type="dxa" w:w="2091"/>
            <w:shd w:val="clear" w:color="auto" w:fill="F5F7F9"/>
          </w:tcPr>
          <w:p>
            <w:pPr>
              <w:spacing w:after="20"/>
              <w:jc w:val="right"/>
            </w:pPr>
            <w:r>
              <w:rPr>
                <w:rFonts w:ascii="Calibri" w:hAnsi="Calibri"/>
                <w:b w:val="0"/>
                <w:i w:val="0"/>
                <w:color w:val="2B2F38"/>
                <w:sz w:val="19"/>
              </w:rPr>
              <w:t>3</w:t>
            </w:r>
          </w:p>
        </w:tc>
        <w:tc>
          <w:tcPr>
            <w:tcW w:type="dxa" w:w="3992"/>
            <w:shd w:val="clear" w:color="auto" w:fill="F5F7F9"/>
          </w:tcPr>
          <w:p>
            <w:pPr>
              <w:spacing w:after="20"/>
              <w:jc w:val="right"/>
            </w:pPr>
            <w:r>
              <w:rPr>
                <w:rFonts w:ascii="Calibri" w:hAnsi="Calibri"/>
                <w:b w:val="0"/>
                <w:i w:val="0"/>
                <w:color w:val="2B2F38"/>
                <w:sz w:val="19"/>
              </w:rPr>
              <w:t>$1.5M spend</w:t>
            </w:r>
          </w:p>
        </w:tc>
      </w:tr>
      <w:tr>
        <w:tc>
          <w:tcPr>
            <w:tcW w:type="dxa" w:w="3421"/>
            <w:shd w:val="clear" w:color="auto" w:fill="FFFFFF"/>
          </w:tcPr>
          <w:p>
            <w:pPr>
              <w:spacing w:after="20"/>
            </w:pPr>
            <w:r>
              <w:rPr>
                <w:rFonts w:ascii="Calibri" w:hAnsi="Calibri"/>
                <w:b w:val="0"/>
                <w:i w:val="0"/>
                <w:color w:val="2B2F38"/>
                <w:sz w:val="19"/>
              </w:rPr>
              <w:t>Trade incrementality index</w:t>
            </w:r>
          </w:p>
        </w:tc>
        <w:tc>
          <w:tcPr>
            <w:tcW w:type="dxa" w:w="2091"/>
            <w:shd w:val="clear" w:color="auto" w:fill="FFFFFF"/>
          </w:tcPr>
          <w:p>
            <w:pPr>
              <w:spacing w:after="20"/>
              <w:jc w:val="right"/>
            </w:pPr>
            <w:r>
              <w:rPr>
                <w:rFonts w:ascii="Calibri" w:hAnsi="Calibri"/>
                <w:b w:val="0"/>
                <w:i w:val="0"/>
                <w:color w:val="2B2F38"/>
                <w:sz w:val="19"/>
              </w:rPr>
              <w:t>0.57</w:t>
            </w:r>
          </w:p>
        </w:tc>
        <w:tc>
          <w:tcPr>
            <w:tcW w:type="dxa" w:w="3992"/>
            <w:shd w:val="clear" w:color="auto" w:fill="FFFFFF"/>
          </w:tcPr>
          <w:p>
            <w:pPr>
              <w:spacing w:after="20"/>
              <w:jc w:val="right"/>
            </w:pPr>
            <w:r>
              <w:rPr>
                <w:rFonts w:ascii="Calibri" w:hAnsi="Calibri"/>
                <w:b w:val="0"/>
                <w:i w:val="0"/>
                <w:color w:val="2B2F38"/>
                <w:sz w:val="19"/>
              </w:rPr>
              <w:t>Above portfolio average</w:t>
            </w:r>
          </w:p>
        </w:tc>
      </w:tr>
      <w:tr>
        <w:tc>
          <w:tcPr>
            <w:tcW w:type="dxa" w:w="3421"/>
            <w:shd w:val="clear" w:color="auto" w:fill="F5F7F9"/>
          </w:tcPr>
          <w:p>
            <w:pPr>
              <w:spacing w:after="20"/>
            </w:pPr>
            <w:r>
              <w:rPr>
                <w:rFonts w:ascii="Calibri" w:hAnsi="Calibri"/>
                <w:b w:val="0"/>
                <w:i w:val="0"/>
                <w:color w:val="2B2F38"/>
                <w:sz w:val="19"/>
              </w:rPr>
              <w:t>Kroger Precision modelled ratio</w:t>
            </w:r>
          </w:p>
        </w:tc>
        <w:tc>
          <w:tcPr>
            <w:tcW w:type="dxa" w:w="2091"/>
            <w:shd w:val="clear" w:color="auto" w:fill="F5F7F9"/>
          </w:tcPr>
          <w:p>
            <w:pPr>
              <w:spacing w:after="20"/>
              <w:jc w:val="right"/>
            </w:pPr>
            <w:r>
              <w:rPr>
                <w:rFonts w:ascii="Calibri" w:hAnsi="Calibri"/>
                <w:b w:val="0"/>
                <w:i w:val="0"/>
                <w:color w:val="2B2F38"/>
                <w:sz w:val="19"/>
              </w:rPr>
              <w:t>0.77</w:t>
            </w:r>
          </w:p>
        </w:tc>
        <w:tc>
          <w:tcPr>
            <w:tcW w:type="dxa" w:w="3992"/>
            <w:shd w:val="clear" w:color="auto" w:fill="F5F7F9"/>
          </w:tcPr>
          <w:p>
            <w:pPr>
              <w:spacing w:after="20"/>
              <w:jc w:val="right"/>
            </w:pPr>
            <w:r>
              <w:rPr>
                <w:rFonts w:ascii="Calibri" w:hAnsi="Calibri"/>
                <w:b w:val="0"/>
                <w:i w:val="0"/>
                <w:color w:val="2B2F38"/>
                <w:sz w:val="19"/>
              </w:rPr>
              <w:t>Second-best platform</w:t>
            </w:r>
          </w:p>
        </w:tc>
      </w:tr>
      <w:tr>
        <w:tc>
          <w:tcPr>
            <w:tcW w:type="dxa" w:w="3421"/>
            <w:shd w:val="clear" w:color="auto" w:fill="FFFFFF"/>
          </w:tcPr>
          <w:p>
            <w:pPr>
              <w:spacing w:after="20"/>
            </w:pPr>
            <w:r>
              <w:rPr>
                <w:rFonts w:ascii="Calibri" w:hAnsi="Calibri"/>
                <w:b w:val="0"/>
                <w:i w:val="0"/>
                <w:color w:val="2B2F38"/>
                <w:sz w:val="19"/>
              </w:rPr>
              <w:t>Account NAM</w:t>
            </w:r>
          </w:p>
        </w:tc>
        <w:tc>
          <w:tcPr>
            <w:tcW w:type="dxa" w:w="2091"/>
            <w:shd w:val="clear" w:color="auto" w:fill="FFFFFF"/>
          </w:tcPr>
          <w:p>
            <w:pPr>
              <w:spacing w:after="20"/>
              <w:jc w:val="right"/>
            </w:pPr>
            <w:r>
              <w:rPr>
                <w:rFonts w:ascii="Calibri" w:hAnsi="Calibri"/>
                <w:b w:val="0"/>
                <w:i w:val="0"/>
                <w:color w:val="2B2F38"/>
                <w:sz w:val="19"/>
              </w:rPr>
              <w:t>Jasmine Watkins</w:t>
            </w:r>
          </w:p>
        </w:tc>
        <w:tc>
          <w:tcPr>
            <w:tcW w:type="dxa" w:w="3992"/>
            <w:shd w:val="clear" w:color="auto" w:fill="FFFFFF"/>
          </w:tcPr>
          <w:p>
            <w:pPr>
              <w:spacing w:after="20"/>
              <w:jc w:val="right"/>
            </w:pPr>
            <w:r>
              <w:rPr>
                <w:rFonts w:ascii="Calibri" w:hAnsi="Calibri"/>
                <w:b w:val="0"/>
                <w:i w:val="0"/>
                <w:color w:val="2B2F38"/>
                <w:sz w:val="19"/>
              </w:rPr>
              <w:t>Tier 1</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seed_retailers, plan_vs_actual, seed_trade_promo_events_q1_2026, seed_retail_media_spend_q1_2026.</w:t>
      </w:r>
    </w:p>
    <w:p>
      <w:pPr>
        <w:keepNext/>
        <w:spacing w:after="40" w:before="240" w:line="274" w:lineRule="auto"/>
      </w:pPr>
      <w:r>
        <w:rPr>
          <w:rFonts w:ascii="Calibri" w:hAnsi="Calibri"/>
          <w:b/>
          <w:i w:val="0"/>
          <w:color w:val="2E7D75"/>
          <w:sz w:val="18"/>
        </w:rPr>
        <w:t>THE SWITCHING STUDY</w:t>
      </w:r>
    </w:p>
    <w:p>
      <w:pPr>
        <w:keepNext/>
        <w:spacing w:after="100" w:before="0" w:line="274" w:lineRule="auto"/>
      </w:pPr>
      <w:r>
        <w:rPr>
          <w:rFonts w:ascii="Calibri" w:hAnsi="Calibri"/>
          <w:b/>
          <w:i w:val="0"/>
          <w:color w:val="1F2A44"/>
          <w:sz w:val="31"/>
        </w:rPr>
        <w:t>3 · Where our volume is going inside Kroger</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1711"/>
        <w:gridCol w:w="2091"/>
        <w:gridCol w:w="1901"/>
        <w:gridCol w:w="1331"/>
        <w:gridCol w:w="1331"/>
        <w:gridCol w:w="1140"/>
      </w:tblGrid>
      <w:tr>
        <w:tc>
          <w:tcPr>
            <w:tcW w:type="dxa" w:w="1711"/>
            <w:shd w:val="clear" w:color="auto" w:fill="1F2A44"/>
          </w:tcPr>
          <w:p>
            <w:pPr>
              <w:spacing w:after="20"/>
            </w:pPr>
            <w:r>
              <w:rPr>
                <w:rFonts w:ascii="Calibri" w:hAnsi="Calibri"/>
                <w:b/>
                <w:i w:val="0"/>
                <w:color w:val="FFFFFF"/>
                <w:sz w:val="17"/>
              </w:rPr>
              <w:t>Segment</w:t>
            </w:r>
          </w:p>
        </w:tc>
        <w:tc>
          <w:tcPr>
            <w:tcW w:type="dxa" w:w="2091"/>
            <w:shd w:val="clear" w:color="auto" w:fill="1F2A44"/>
          </w:tcPr>
          <w:p>
            <w:pPr>
              <w:spacing w:after="20"/>
            </w:pPr>
            <w:r>
              <w:rPr>
                <w:rFonts w:ascii="Calibri" w:hAnsi="Calibri"/>
                <w:b/>
                <w:i w:val="0"/>
                <w:color w:val="FFFFFF"/>
                <w:sz w:val="17"/>
              </w:rPr>
              <w:t>From</w:t>
            </w:r>
          </w:p>
        </w:tc>
        <w:tc>
          <w:tcPr>
            <w:tcW w:type="dxa" w:w="1901"/>
            <w:shd w:val="clear" w:color="auto" w:fill="1F2A44"/>
          </w:tcPr>
          <w:p>
            <w:pPr>
              <w:spacing w:after="20"/>
            </w:pPr>
            <w:r>
              <w:rPr>
                <w:rFonts w:ascii="Calibri" w:hAnsi="Calibri"/>
                <w:b/>
                <w:i w:val="0"/>
                <w:color w:val="FFFFFF"/>
                <w:sz w:val="17"/>
              </w:rPr>
              <w:t>To</w:t>
            </w:r>
          </w:p>
        </w:tc>
        <w:tc>
          <w:tcPr>
            <w:tcW w:type="dxa" w:w="1331"/>
            <w:shd w:val="clear" w:color="auto" w:fill="1F2A44"/>
          </w:tcPr>
          <w:p>
            <w:pPr>
              <w:spacing w:after="20"/>
              <w:jc w:val="right"/>
            </w:pPr>
            <w:r>
              <w:rPr>
                <w:rFonts w:ascii="Calibri" w:hAnsi="Calibri"/>
                <w:b/>
                <w:i w:val="0"/>
                <w:color w:val="FFFFFF"/>
                <w:sz w:val="17"/>
              </w:rPr>
              <w:t>Switch rate %</w:t>
            </w:r>
          </w:p>
        </w:tc>
        <w:tc>
          <w:tcPr>
            <w:tcW w:type="dxa" w:w="1331"/>
            <w:shd w:val="clear" w:color="auto" w:fill="1F2A44"/>
          </w:tcPr>
          <w:p>
            <w:pPr>
              <w:spacing w:after="20"/>
              <w:jc w:val="right"/>
            </w:pPr>
            <w:r>
              <w:rPr>
                <w:rFonts w:ascii="Calibri" w:hAnsi="Calibri"/>
                <w:b/>
                <w:i w:val="0"/>
                <w:color w:val="FFFFFF"/>
                <w:sz w:val="17"/>
              </w:rPr>
              <w:t>Share pt shift</w:t>
            </w:r>
          </w:p>
        </w:tc>
        <w:tc>
          <w:tcPr>
            <w:tcW w:type="dxa" w:w="1140"/>
            <w:shd w:val="clear" w:color="auto" w:fill="1F2A44"/>
          </w:tcPr>
          <w:p>
            <w:pPr>
              <w:spacing w:after="20"/>
              <w:jc w:val="right"/>
            </w:pPr>
            <w:r>
              <w:rPr>
                <w:rFonts w:ascii="Calibri" w:hAnsi="Calibri"/>
                <w:b/>
                <w:i w:val="0"/>
                <w:color w:val="FFFFFF"/>
                <w:sz w:val="17"/>
              </w:rPr>
              <w:t>Division</w:t>
            </w:r>
          </w:p>
        </w:tc>
      </w:tr>
      <w:tr>
        <w:tc>
          <w:tcPr>
            <w:tcW w:type="dxa" w:w="1711"/>
            <w:shd w:val="clear" w:color="auto" w:fill="FFFFFF"/>
          </w:tcPr>
          <w:p>
            <w:pPr>
              <w:spacing w:after="20"/>
            </w:pPr>
            <w:r>
              <w:rPr>
                <w:rFonts w:ascii="Calibri" w:hAnsi="Calibri"/>
                <w:b w:val="0"/>
                <w:i w:val="0"/>
                <w:color w:val="2B2F38"/>
                <w:sz w:val="18"/>
              </w:rPr>
              <w:t>Protein-Forward</w:t>
            </w:r>
          </w:p>
        </w:tc>
        <w:tc>
          <w:tcPr>
            <w:tcW w:type="dxa" w:w="2091"/>
            <w:shd w:val="clear" w:color="auto" w:fill="FFFFFF"/>
          </w:tcPr>
          <w:p>
            <w:pPr>
              <w:spacing w:after="20"/>
            </w:pPr>
            <w:r>
              <w:rPr>
                <w:rFonts w:ascii="Calibri" w:hAnsi="Calibri"/>
                <w:b w:val="0"/>
                <w:i w:val="0"/>
                <w:color w:val="2B2F38"/>
                <w:sz w:val="18"/>
              </w:rPr>
              <w:t>Traditional family cereal</w:t>
            </w:r>
          </w:p>
        </w:tc>
        <w:tc>
          <w:tcPr>
            <w:tcW w:type="dxa" w:w="1901"/>
            <w:shd w:val="clear" w:color="auto" w:fill="FFFFFF"/>
          </w:tcPr>
          <w:p>
            <w:pPr>
              <w:spacing w:after="20"/>
            </w:pPr>
            <w:r>
              <w:rPr>
                <w:rFonts w:ascii="Calibri" w:hAnsi="Calibri"/>
                <w:b w:val="0"/>
                <w:i w:val="0"/>
                <w:color w:val="2B2F38"/>
                <w:sz w:val="18"/>
              </w:rPr>
              <w:t>(segment shift)</w:t>
            </w:r>
          </w:p>
        </w:tc>
        <w:tc>
          <w:tcPr>
            <w:tcW w:type="dxa" w:w="1331"/>
            <w:shd w:val="clear" w:color="auto" w:fill="FFFFFF"/>
          </w:tcPr>
          <w:p>
            <w:pPr>
              <w:spacing w:after="20"/>
              <w:jc w:val="right"/>
            </w:pPr>
            <w:r>
              <w:rPr>
                <w:rFonts w:ascii="Calibri" w:hAnsi="Calibri"/>
                <w:b w:val="0"/>
                <w:i w:val="0"/>
                <w:color w:val="2B2F38"/>
                <w:sz w:val="18"/>
              </w:rPr>
              <w:t>—</w:t>
            </w:r>
          </w:p>
        </w:tc>
        <w:tc>
          <w:tcPr>
            <w:tcW w:type="dxa" w:w="1331"/>
            <w:shd w:val="clear" w:color="auto" w:fill="FFFFFF"/>
          </w:tcPr>
          <w:p>
            <w:pPr>
              <w:spacing w:after="20"/>
              <w:jc w:val="right"/>
            </w:pPr>
            <w:r>
              <w:rPr>
                <w:rFonts w:ascii="Calibri" w:hAnsi="Calibri"/>
                <w:b w:val="0"/>
                <w:i w:val="0"/>
                <w:color w:val="2B2F38"/>
                <w:sz w:val="18"/>
              </w:rPr>
              <w:t>+2.3</w:t>
            </w:r>
          </w:p>
        </w:tc>
        <w:tc>
          <w:tcPr>
            <w:tcW w:type="dxa" w:w="1140"/>
            <w:shd w:val="clear" w:color="auto" w:fill="FFFFFF"/>
          </w:tcPr>
          <w:p>
            <w:pPr>
              <w:spacing w:after="20"/>
              <w:jc w:val="right"/>
            </w:pPr>
            <w:r>
              <w:rPr>
                <w:rFonts w:ascii="Calibri" w:hAnsi="Calibri"/>
                <w:b w:val="0"/>
                <w:i w:val="0"/>
                <w:color w:val="2B2F38"/>
                <w:sz w:val="18"/>
              </w:rPr>
              <w:t>Kroger-National</w:t>
            </w:r>
          </w:p>
        </w:tc>
      </w:tr>
      <w:tr>
        <w:tc>
          <w:tcPr>
            <w:tcW w:type="dxa" w:w="1711"/>
            <w:shd w:val="clear" w:color="auto" w:fill="F5F7F9"/>
          </w:tcPr>
          <w:p>
            <w:pPr>
              <w:spacing w:after="20"/>
            </w:pPr>
            <w:r>
              <w:rPr>
                <w:rFonts w:ascii="Calibri" w:hAnsi="Calibri"/>
                <w:b w:val="0"/>
                <w:i w:val="0"/>
                <w:color w:val="2B2F38"/>
                <w:sz w:val="18"/>
              </w:rPr>
              <w:t>Sugar-Reduced</w:t>
            </w:r>
          </w:p>
        </w:tc>
        <w:tc>
          <w:tcPr>
            <w:tcW w:type="dxa" w:w="2091"/>
            <w:shd w:val="clear" w:color="auto" w:fill="F5F7F9"/>
          </w:tcPr>
          <w:p>
            <w:pPr>
              <w:spacing w:after="20"/>
            </w:pPr>
            <w:r>
              <w:rPr>
                <w:rFonts w:ascii="Calibri" w:hAnsi="Calibri"/>
                <w:b w:val="0"/>
                <w:i w:val="0"/>
                <w:color w:val="2B2F38"/>
                <w:sz w:val="18"/>
              </w:rPr>
              <w:t>Traditional family cereal</w:t>
            </w:r>
          </w:p>
        </w:tc>
        <w:tc>
          <w:tcPr>
            <w:tcW w:type="dxa" w:w="1901"/>
            <w:shd w:val="clear" w:color="auto" w:fill="F5F7F9"/>
          </w:tcPr>
          <w:p>
            <w:pPr>
              <w:spacing w:after="20"/>
            </w:pPr>
            <w:r>
              <w:rPr>
                <w:rFonts w:ascii="Calibri" w:hAnsi="Calibri"/>
                <w:b w:val="0"/>
                <w:i w:val="0"/>
                <w:color w:val="2B2F38"/>
                <w:sz w:val="18"/>
              </w:rPr>
              <w:t>(segment shift)</w:t>
            </w:r>
          </w:p>
        </w:tc>
        <w:tc>
          <w:tcPr>
            <w:tcW w:type="dxa" w:w="1331"/>
            <w:shd w:val="clear" w:color="auto" w:fill="F5F7F9"/>
          </w:tcPr>
          <w:p>
            <w:pPr>
              <w:spacing w:after="20"/>
              <w:jc w:val="right"/>
            </w:pPr>
            <w:r>
              <w:rPr>
                <w:rFonts w:ascii="Calibri" w:hAnsi="Calibri"/>
                <w:b w:val="0"/>
                <w:i w:val="0"/>
                <w:color w:val="2B2F38"/>
                <w:sz w:val="18"/>
              </w:rPr>
              <w:t>—</w:t>
            </w:r>
          </w:p>
        </w:tc>
        <w:tc>
          <w:tcPr>
            <w:tcW w:type="dxa" w:w="1331"/>
            <w:shd w:val="clear" w:color="auto" w:fill="F5F7F9"/>
          </w:tcPr>
          <w:p>
            <w:pPr>
              <w:spacing w:after="20"/>
              <w:jc w:val="right"/>
            </w:pPr>
            <w:r>
              <w:rPr>
                <w:rFonts w:ascii="Calibri" w:hAnsi="Calibri"/>
                <w:b w:val="0"/>
                <w:i w:val="0"/>
                <w:color w:val="2B2F38"/>
                <w:sz w:val="18"/>
              </w:rPr>
              <w:t>+2.3</w:t>
            </w:r>
          </w:p>
        </w:tc>
        <w:tc>
          <w:tcPr>
            <w:tcW w:type="dxa" w:w="1140"/>
            <w:shd w:val="clear" w:color="auto" w:fill="F5F7F9"/>
          </w:tcPr>
          <w:p>
            <w:pPr>
              <w:spacing w:after="20"/>
              <w:jc w:val="right"/>
            </w:pPr>
            <w:r>
              <w:rPr>
                <w:rFonts w:ascii="Calibri" w:hAnsi="Calibri"/>
                <w:b w:val="0"/>
                <w:i w:val="0"/>
                <w:color w:val="2B2F38"/>
                <w:sz w:val="18"/>
              </w:rPr>
              <w:t>Kroger-National</w:t>
            </w:r>
          </w:p>
        </w:tc>
      </w:tr>
      <w:tr>
        <w:tc>
          <w:tcPr>
            <w:tcW w:type="dxa" w:w="1711"/>
            <w:shd w:val="clear" w:color="auto" w:fill="FFFFFF"/>
          </w:tcPr>
          <w:p>
            <w:pPr>
              <w:spacing w:after="20"/>
            </w:pPr>
            <w:r>
              <w:rPr>
                <w:rFonts w:ascii="Calibri" w:hAnsi="Calibri"/>
                <w:b w:val="0"/>
                <w:i w:val="0"/>
                <w:color w:val="2B2F38"/>
                <w:sz w:val="18"/>
              </w:rPr>
              <w:t>Ancient-Grain</w:t>
            </w:r>
          </w:p>
        </w:tc>
        <w:tc>
          <w:tcPr>
            <w:tcW w:type="dxa" w:w="2091"/>
            <w:shd w:val="clear" w:color="auto" w:fill="FFFFFF"/>
          </w:tcPr>
          <w:p>
            <w:pPr>
              <w:spacing w:after="20"/>
            </w:pPr>
            <w:r>
              <w:rPr>
                <w:rFonts w:ascii="Calibri" w:hAnsi="Calibri"/>
                <w:b w:val="0"/>
                <w:i w:val="0"/>
                <w:color w:val="2B2F38"/>
                <w:sz w:val="18"/>
              </w:rPr>
              <w:t>Traditional family cereal</w:t>
            </w:r>
          </w:p>
        </w:tc>
        <w:tc>
          <w:tcPr>
            <w:tcW w:type="dxa" w:w="1901"/>
            <w:shd w:val="clear" w:color="auto" w:fill="FFFFFF"/>
          </w:tcPr>
          <w:p>
            <w:pPr>
              <w:spacing w:after="20"/>
            </w:pPr>
            <w:r>
              <w:rPr>
                <w:rFonts w:ascii="Calibri" w:hAnsi="Calibri"/>
                <w:b w:val="0"/>
                <w:i w:val="0"/>
                <w:color w:val="2B2F38"/>
                <w:sz w:val="18"/>
              </w:rPr>
              <w:t>(segment shift)</w:t>
            </w:r>
          </w:p>
        </w:tc>
        <w:tc>
          <w:tcPr>
            <w:tcW w:type="dxa" w:w="1331"/>
            <w:shd w:val="clear" w:color="auto" w:fill="FFFFFF"/>
          </w:tcPr>
          <w:p>
            <w:pPr>
              <w:spacing w:after="20"/>
              <w:jc w:val="right"/>
            </w:pPr>
            <w:r>
              <w:rPr>
                <w:rFonts w:ascii="Calibri" w:hAnsi="Calibri"/>
                <w:b w:val="0"/>
                <w:i w:val="0"/>
                <w:color w:val="2B2F38"/>
                <w:sz w:val="18"/>
              </w:rPr>
              <w:t>—</w:t>
            </w:r>
          </w:p>
        </w:tc>
        <w:tc>
          <w:tcPr>
            <w:tcW w:type="dxa" w:w="1331"/>
            <w:shd w:val="clear" w:color="auto" w:fill="FFFFFF"/>
          </w:tcPr>
          <w:p>
            <w:pPr>
              <w:spacing w:after="20"/>
              <w:jc w:val="right"/>
            </w:pPr>
            <w:r>
              <w:rPr>
                <w:rFonts w:ascii="Calibri" w:hAnsi="Calibri"/>
                <w:b w:val="0"/>
                <w:i w:val="0"/>
                <w:color w:val="2B2F38"/>
                <w:sz w:val="18"/>
              </w:rPr>
              <w:t>+2.3</w:t>
            </w:r>
          </w:p>
        </w:tc>
        <w:tc>
          <w:tcPr>
            <w:tcW w:type="dxa" w:w="1140"/>
            <w:shd w:val="clear" w:color="auto" w:fill="FFFFFF"/>
          </w:tcPr>
          <w:p>
            <w:pPr>
              <w:spacing w:after="20"/>
              <w:jc w:val="right"/>
            </w:pPr>
            <w:r>
              <w:rPr>
                <w:rFonts w:ascii="Calibri" w:hAnsi="Calibri"/>
                <w:b w:val="0"/>
                <w:i w:val="0"/>
                <w:color w:val="2B2F38"/>
                <w:sz w:val="18"/>
              </w:rPr>
              <w:t>Kroger-National</w:t>
            </w:r>
          </w:p>
        </w:tc>
      </w:tr>
      <w:tr>
        <w:tc>
          <w:tcPr>
            <w:tcW w:type="dxa" w:w="1711"/>
            <w:shd w:val="clear" w:color="auto" w:fill="F5F7F9"/>
          </w:tcPr>
          <w:p>
            <w:pPr>
              <w:spacing w:after="20"/>
            </w:pPr>
            <w:r>
              <w:rPr>
                <w:rFonts w:ascii="Calibri" w:hAnsi="Calibri"/>
                <w:b w:val="0"/>
                <w:i w:val="0"/>
                <w:color w:val="2B2F38"/>
                <w:sz w:val="18"/>
              </w:rPr>
              <w:t>All</w:t>
            </w:r>
          </w:p>
        </w:tc>
        <w:tc>
          <w:tcPr>
            <w:tcW w:type="dxa" w:w="2091"/>
            <w:shd w:val="clear" w:color="auto" w:fill="F5F7F9"/>
          </w:tcPr>
          <w:p>
            <w:pPr>
              <w:spacing w:after="20"/>
            </w:pPr>
            <w:r>
              <w:rPr>
                <w:rFonts w:ascii="Calibri" w:hAnsi="Calibri"/>
                <w:b w:val="0"/>
                <w:i w:val="0"/>
                <w:color w:val="2B2F38"/>
                <w:sz w:val="18"/>
              </w:rPr>
              <w:t>Crunchwell+other</w:t>
            </w:r>
          </w:p>
        </w:tc>
        <w:tc>
          <w:tcPr>
            <w:tcW w:type="dxa" w:w="1901"/>
            <w:shd w:val="clear" w:color="auto" w:fill="F5F7F9"/>
          </w:tcPr>
          <w:p>
            <w:pPr>
              <w:spacing w:after="20"/>
            </w:pPr>
            <w:r>
              <w:rPr>
                <w:rFonts w:ascii="Calibri" w:hAnsi="Calibri"/>
                <w:b w:val="0"/>
                <w:i w:val="0"/>
                <w:color w:val="2B2F38"/>
                <w:sz w:val="18"/>
              </w:rPr>
              <w:t>Larksfield Field &amp; Honey</w:t>
            </w:r>
          </w:p>
        </w:tc>
        <w:tc>
          <w:tcPr>
            <w:tcW w:type="dxa" w:w="1331"/>
            <w:shd w:val="clear" w:color="auto" w:fill="F5F7F9"/>
          </w:tcPr>
          <w:p>
            <w:pPr>
              <w:spacing w:after="20"/>
              <w:jc w:val="right"/>
            </w:pPr>
            <w:r>
              <w:rPr>
                <w:rFonts w:ascii="Calibri" w:hAnsi="Calibri"/>
                <w:b w:val="0"/>
                <w:i w:val="0"/>
                <w:color w:val="2B2F38"/>
                <w:sz w:val="18"/>
              </w:rPr>
              <w:t>19.1</w:t>
            </w:r>
          </w:p>
        </w:tc>
        <w:tc>
          <w:tcPr>
            <w:tcW w:type="dxa" w:w="1331"/>
            <w:shd w:val="clear" w:color="auto" w:fill="F5F7F9"/>
          </w:tcPr>
          <w:p>
            <w:pPr>
              <w:spacing w:after="20"/>
              <w:jc w:val="right"/>
            </w:pPr>
            <w:r>
              <w:rPr>
                <w:rFonts w:ascii="Calibri" w:hAnsi="Calibri"/>
                <w:b w:val="0"/>
                <w:i w:val="0"/>
                <w:color w:val="2B2F38"/>
                <w:sz w:val="18"/>
              </w:rPr>
              <w:t>+2.1</w:t>
            </w:r>
          </w:p>
        </w:tc>
        <w:tc>
          <w:tcPr>
            <w:tcW w:type="dxa" w:w="1140"/>
            <w:shd w:val="clear" w:color="auto" w:fill="F5F7F9"/>
          </w:tcPr>
          <w:p>
            <w:pPr>
              <w:spacing w:after="20"/>
              <w:jc w:val="right"/>
            </w:pPr>
            <w:r>
              <w:rPr>
                <w:rFonts w:ascii="Calibri" w:hAnsi="Calibri"/>
                <w:b w:val="0"/>
                <w:i w:val="0"/>
                <w:color w:val="2B2F38"/>
                <w:sz w:val="18"/>
              </w:rPr>
              <w:t>Kroger-South</w:t>
            </w:r>
          </w:p>
        </w:tc>
      </w:tr>
      <w:tr>
        <w:tc>
          <w:tcPr>
            <w:tcW w:type="dxa" w:w="1711"/>
            <w:shd w:val="clear" w:color="auto" w:fill="FFFFFF"/>
          </w:tcPr>
          <w:p>
            <w:pPr>
              <w:spacing w:after="20"/>
            </w:pPr>
            <w:r>
              <w:rPr>
                <w:rFonts w:ascii="Calibri" w:hAnsi="Calibri"/>
                <w:b w:val="0"/>
                <w:i w:val="0"/>
                <w:color w:val="2B2F38"/>
                <w:sz w:val="18"/>
              </w:rPr>
              <w:t>All</w:t>
            </w:r>
          </w:p>
        </w:tc>
        <w:tc>
          <w:tcPr>
            <w:tcW w:type="dxa" w:w="2091"/>
            <w:shd w:val="clear" w:color="auto" w:fill="FFFFFF"/>
          </w:tcPr>
          <w:p>
            <w:pPr>
              <w:spacing w:after="20"/>
            </w:pPr>
            <w:r>
              <w:rPr>
                <w:rFonts w:ascii="Calibri" w:hAnsi="Calibri"/>
                <w:b w:val="0"/>
                <w:i w:val="0"/>
                <w:color w:val="2B2F38"/>
                <w:sz w:val="18"/>
              </w:rPr>
              <w:t>Crunchwell+other</w:t>
            </w:r>
          </w:p>
        </w:tc>
        <w:tc>
          <w:tcPr>
            <w:tcW w:type="dxa" w:w="1901"/>
            <w:shd w:val="clear" w:color="auto" w:fill="FFFFFF"/>
          </w:tcPr>
          <w:p>
            <w:pPr>
              <w:spacing w:after="20"/>
            </w:pPr>
            <w:r>
              <w:rPr>
                <w:rFonts w:ascii="Calibri" w:hAnsi="Calibri"/>
                <w:b w:val="0"/>
                <w:i w:val="0"/>
                <w:color w:val="2B2F38"/>
                <w:sz w:val="18"/>
              </w:rPr>
              <w:t>Larksfield Field &amp; Honey</w:t>
            </w:r>
          </w:p>
        </w:tc>
        <w:tc>
          <w:tcPr>
            <w:tcW w:type="dxa" w:w="1331"/>
            <w:shd w:val="clear" w:color="auto" w:fill="FFFFFF"/>
          </w:tcPr>
          <w:p>
            <w:pPr>
              <w:spacing w:after="20"/>
              <w:jc w:val="right"/>
            </w:pPr>
            <w:r>
              <w:rPr>
                <w:rFonts w:ascii="Calibri" w:hAnsi="Calibri"/>
                <w:b w:val="0"/>
                <w:i w:val="0"/>
                <w:color w:val="2B2F38"/>
                <w:sz w:val="18"/>
              </w:rPr>
              <w:t>17.1</w:t>
            </w:r>
          </w:p>
        </w:tc>
        <w:tc>
          <w:tcPr>
            <w:tcW w:type="dxa" w:w="1331"/>
            <w:shd w:val="clear" w:color="auto" w:fill="FFFFFF"/>
          </w:tcPr>
          <w:p>
            <w:pPr>
              <w:spacing w:after="20"/>
              <w:jc w:val="right"/>
            </w:pPr>
            <w:r>
              <w:rPr>
                <w:rFonts w:ascii="Calibri" w:hAnsi="Calibri"/>
                <w:b w:val="0"/>
                <w:i w:val="0"/>
                <w:color w:val="2B2F38"/>
                <w:sz w:val="18"/>
              </w:rPr>
              <w:t>+1.4</w:t>
            </w:r>
          </w:p>
        </w:tc>
        <w:tc>
          <w:tcPr>
            <w:tcW w:type="dxa" w:w="1140"/>
            <w:shd w:val="clear" w:color="auto" w:fill="FFFFFF"/>
          </w:tcPr>
          <w:p>
            <w:pPr>
              <w:spacing w:after="20"/>
              <w:jc w:val="right"/>
            </w:pPr>
            <w:r>
              <w:rPr>
                <w:rFonts w:ascii="Calibri" w:hAnsi="Calibri"/>
                <w:b w:val="0"/>
                <w:i w:val="0"/>
                <w:color w:val="2B2F38"/>
                <w:sz w:val="18"/>
              </w:rPr>
              <w:t>Kroger-National</w:t>
            </w:r>
          </w:p>
        </w:tc>
      </w:tr>
      <w:tr>
        <w:tc>
          <w:tcPr>
            <w:tcW w:type="dxa" w:w="1711"/>
            <w:shd w:val="clear" w:color="auto" w:fill="F5F7F9"/>
          </w:tcPr>
          <w:p>
            <w:pPr>
              <w:spacing w:after="20"/>
            </w:pPr>
            <w:r>
              <w:rPr>
                <w:rFonts w:ascii="Calibri" w:hAnsi="Calibri"/>
                <w:b w:val="0"/>
                <w:i w:val="0"/>
                <w:color w:val="2B2F38"/>
                <w:sz w:val="18"/>
              </w:rPr>
              <w:t>All</w:t>
            </w:r>
          </w:p>
        </w:tc>
        <w:tc>
          <w:tcPr>
            <w:tcW w:type="dxa" w:w="2091"/>
            <w:shd w:val="clear" w:color="auto" w:fill="F5F7F9"/>
          </w:tcPr>
          <w:p>
            <w:pPr>
              <w:spacing w:after="20"/>
            </w:pPr>
            <w:r>
              <w:rPr>
                <w:rFonts w:ascii="Calibri" w:hAnsi="Calibri"/>
                <w:b w:val="0"/>
                <w:i w:val="0"/>
                <w:color w:val="2B2F38"/>
                <w:sz w:val="18"/>
              </w:rPr>
              <w:t>Crunchwell</w:t>
            </w:r>
          </w:p>
        </w:tc>
        <w:tc>
          <w:tcPr>
            <w:tcW w:type="dxa" w:w="1901"/>
            <w:shd w:val="clear" w:color="auto" w:fill="F5F7F9"/>
          </w:tcPr>
          <w:p>
            <w:pPr>
              <w:spacing w:after="20"/>
            </w:pPr>
            <w:r>
              <w:rPr>
                <w:rFonts w:ascii="Calibri" w:hAnsi="Calibri"/>
                <w:b w:val="0"/>
                <w:i w:val="0"/>
                <w:color w:val="2B2F38"/>
                <w:sz w:val="18"/>
              </w:rPr>
              <w:t>Simple Truth</w:t>
            </w:r>
          </w:p>
        </w:tc>
        <w:tc>
          <w:tcPr>
            <w:tcW w:type="dxa" w:w="1331"/>
            <w:shd w:val="clear" w:color="auto" w:fill="F5F7F9"/>
          </w:tcPr>
          <w:p>
            <w:pPr>
              <w:spacing w:after="20"/>
              <w:jc w:val="right"/>
            </w:pPr>
            <w:r>
              <w:rPr>
                <w:rFonts w:ascii="Calibri" w:hAnsi="Calibri"/>
                <w:b w:val="0"/>
                <w:i w:val="0"/>
                <w:color w:val="2B2F38"/>
                <w:sz w:val="18"/>
              </w:rPr>
              <w:t>14.3</w:t>
            </w:r>
          </w:p>
        </w:tc>
        <w:tc>
          <w:tcPr>
            <w:tcW w:type="dxa" w:w="1331"/>
            <w:shd w:val="clear" w:color="auto" w:fill="F5F7F9"/>
          </w:tcPr>
          <w:p>
            <w:pPr>
              <w:spacing w:after="20"/>
              <w:jc w:val="right"/>
            </w:pPr>
            <w:r>
              <w:rPr>
                <w:rFonts w:ascii="Calibri" w:hAnsi="Calibri"/>
                <w:b w:val="0"/>
                <w:i w:val="0"/>
                <w:color w:val="2B2F38"/>
                <w:sz w:val="18"/>
              </w:rPr>
              <w:t>+0.8</w:t>
            </w:r>
          </w:p>
        </w:tc>
        <w:tc>
          <w:tcPr>
            <w:tcW w:type="dxa" w:w="1140"/>
            <w:shd w:val="clear" w:color="auto" w:fill="F5F7F9"/>
          </w:tcPr>
          <w:p>
            <w:pPr>
              <w:spacing w:after="20"/>
              <w:jc w:val="right"/>
            </w:pPr>
            <w:r>
              <w:rPr>
                <w:rFonts w:ascii="Calibri" w:hAnsi="Calibri"/>
                <w:b w:val="0"/>
                <w:i w:val="0"/>
                <w:color w:val="2B2F38"/>
                <w:sz w:val="18"/>
              </w:rPr>
              <w:t>Kroger-National</w:t>
            </w:r>
          </w:p>
        </w:tc>
      </w:tr>
      <w:tr>
        <w:tc>
          <w:tcPr>
            <w:tcW w:type="dxa" w:w="1711"/>
            <w:shd w:val="clear" w:color="auto" w:fill="FFFFFF"/>
          </w:tcPr>
          <w:p>
            <w:pPr>
              <w:spacing w:after="20"/>
            </w:pPr>
            <w:r>
              <w:rPr>
                <w:rFonts w:ascii="Calibri" w:hAnsi="Calibri"/>
                <w:b w:val="0"/>
                <w:i w:val="0"/>
                <w:color w:val="2B2F38"/>
                <w:sz w:val="18"/>
              </w:rPr>
              <w:t>Protein segment</w:t>
            </w:r>
          </w:p>
        </w:tc>
        <w:tc>
          <w:tcPr>
            <w:tcW w:type="dxa" w:w="2091"/>
            <w:shd w:val="clear" w:color="auto" w:fill="FFFFFF"/>
          </w:tcPr>
          <w:p>
            <w:pPr>
              <w:spacing w:after="20"/>
            </w:pPr>
            <w:r>
              <w:rPr>
                <w:rFonts w:ascii="Calibri" w:hAnsi="Calibri"/>
                <w:b w:val="0"/>
                <w:i w:val="0"/>
                <w:color w:val="2B2F38"/>
                <w:sz w:val="18"/>
              </w:rPr>
              <w:t>(category)</w:t>
            </w:r>
          </w:p>
        </w:tc>
        <w:tc>
          <w:tcPr>
            <w:tcW w:type="dxa" w:w="1901"/>
            <w:shd w:val="clear" w:color="auto" w:fill="FFFFFF"/>
          </w:tcPr>
          <w:p>
            <w:pPr>
              <w:spacing w:after="20"/>
            </w:pPr>
            <w:r>
              <w:rPr>
                <w:rFonts w:ascii="Calibri" w:hAnsi="Calibri"/>
                <w:b w:val="0"/>
                <w:i w:val="0"/>
                <w:color w:val="2B2F38"/>
                <w:sz w:val="18"/>
              </w:rPr>
              <w:t>Simple Truth</w:t>
            </w:r>
          </w:p>
        </w:tc>
        <w:tc>
          <w:tcPr>
            <w:tcW w:type="dxa" w:w="1331"/>
            <w:shd w:val="clear" w:color="auto" w:fill="FFFFFF"/>
          </w:tcPr>
          <w:p>
            <w:pPr>
              <w:spacing w:after="20"/>
              <w:jc w:val="right"/>
            </w:pPr>
            <w:r>
              <w:rPr>
                <w:rFonts w:ascii="Calibri" w:hAnsi="Calibri"/>
                <w:b w:val="0"/>
                <w:i w:val="0"/>
                <w:color w:val="2B2F38"/>
                <w:sz w:val="18"/>
              </w:rPr>
              <w:t>—</w:t>
            </w:r>
          </w:p>
        </w:tc>
        <w:tc>
          <w:tcPr>
            <w:tcW w:type="dxa" w:w="1331"/>
            <w:shd w:val="clear" w:color="auto" w:fill="FFFFFF"/>
          </w:tcPr>
          <w:p>
            <w:pPr>
              <w:spacing w:after="20"/>
              <w:jc w:val="right"/>
            </w:pPr>
            <w:r>
              <w:rPr>
                <w:rFonts w:ascii="Calibri" w:hAnsi="Calibri"/>
                <w:b w:val="0"/>
                <w:i w:val="0"/>
                <w:color w:val="2B2F38"/>
                <w:sz w:val="18"/>
              </w:rPr>
              <w:t>+0.8</w:t>
            </w:r>
          </w:p>
        </w:tc>
        <w:tc>
          <w:tcPr>
            <w:tcW w:type="dxa" w:w="1140"/>
            <w:shd w:val="clear" w:color="auto" w:fill="FFFFFF"/>
          </w:tcPr>
          <w:p>
            <w:pPr>
              <w:spacing w:after="20"/>
              <w:jc w:val="right"/>
            </w:pPr>
            <w:r>
              <w:rPr>
                <w:rFonts w:ascii="Calibri" w:hAnsi="Calibri"/>
                <w:b w:val="0"/>
                <w:i w:val="0"/>
                <w:color w:val="2B2F38"/>
                <w:sz w:val="18"/>
              </w:rPr>
              <w:t>Kroger-National</w:t>
            </w:r>
          </w:p>
        </w:tc>
      </w:tr>
      <w:tr>
        <w:tc>
          <w:tcPr>
            <w:tcW w:type="dxa" w:w="1711"/>
            <w:shd w:val="clear" w:color="auto" w:fill="F5F7F9"/>
          </w:tcPr>
          <w:p>
            <w:pPr>
              <w:spacing w:after="20"/>
            </w:pPr>
            <w:r>
              <w:rPr>
                <w:rFonts w:ascii="Calibri" w:hAnsi="Calibri"/>
                <w:b w:val="0"/>
                <w:i w:val="0"/>
                <w:color w:val="2B2F38"/>
                <w:sz w:val="18"/>
              </w:rPr>
              <w:t>Family Sweet</w:t>
            </w:r>
          </w:p>
        </w:tc>
        <w:tc>
          <w:tcPr>
            <w:tcW w:type="dxa" w:w="2091"/>
            <w:shd w:val="clear" w:color="auto" w:fill="F5F7F9"/>
          </w:tcPr>
          <w:p>
            <w:pPr>
              <w:spacing w:after="20"/>
            </w:pPr>
            <w:r>
              <w:rPr>
                <w:rFonts w:ascii="Calibri" w:hAnsi="Calibri"/>
                <w:b w:val="0"/>
                <w:i w:val="0"/>
                <w:color w:val="2B2F38"/>
                <w:sz w:val="18"/>
              </w:rPr>
              <w:t>Crunchwell</w:t>
            </w:r>
          </w:p>
        </w:tc>
        <w:tc>
          <w:tcPr>
            <w:tcW w:type="dxa" w:w="1901"/>
            <w:shd w:val="clear" w:color="auto" w:fill="F5F7F9"/>
          </w:tcPr>
          <w:p>
            <w:pPr>
              <w:spacing w:after="20"/>
            </w:pPr>
            <w:r>
              <w:rPr>
                <w:rFonts w:ascii="Calibri" w:hAnsi="Calibri"/>
                <w:b w:val="0"/>
                <w:i w:val="0"/>
                <w:color w:val="2B2F38"/>
                <w:sz w:val="18"/>
              </w:rPr>
              <w:t>Larksfield Field &amp; Honey</w:t>
            </w:r>
          </w:p>
        </w:tc>
        <w:tc>
          <w:tcPr>
            <w:tcW w:type="dxa" w:w="1331"/>
            <w:shd w:val="clear" w:color="auto" w:fill="F5F7F9"/>
          </w:tcPr>
          <w:p>
            <w:pPr>
              <w:spacing w:after="20"/>
              <w:jc w:val="right"/>
            </w:pPr>
            <w:r>
              <w:rPr>
                <w:rFonts w:ascii="Calibri" w:hAnsi="Calibri"/>
                <w:b w:val="0"/>
                <w:i w:val="0"/>
                <w:color w:val="2B2F38"/>
                <w:sz w:val="18"/>
              </w:rPr>
              <w:t>14.4</w:t>
            </w:r>
          </w:p>
        </w:tc>
        <w:tc>
          <w:tcPr>
            <w:tcW w:type="dxa" w:w="1331"/>
            <w:shd w:val="clear" w:color="auto" w:fill="F5F7F9"/>
          </w:tcPr>
          <w:p>
            <w:pPr>
              <w:spacing w:after="20"/>
              <w:jc w:val="right"/>
            </w:pPr>
            <w:r>
              <w:rPr>
                <w:rFonts w:ascii="Calibri" w:hAnsi="Calibri"/>
                <w:b w:val="0"/>
                <w:i w:val="0"/>
                <w:color w:val="2B2F38"/>
                <w:sz w:val="18"/>
              </w:rPr>
              <w:t>+0.4</w:t>
            </w:r>
          </w:p>
        </w:tc>
        <w:tc>
          <w:tcPr>
            <w:tcW w:type="dxa" w:w="1140"/>
            <w:shd w:val="clear" w:color="auto" w:fill="F5F7F9"/>
          </w:tcPr>
          <w:p>
            <w:pPr>
              <w:spacing w:after="20"/>
              <w:jc w:val="right"/>
            </w:pPr>
            <w:r>
              <w:rPr>
                <w:rFonts w:ascii="Calibri" w:hAnsi="Calibri"/>
                <w:b w:val="0"/>
                <w:i w:val="0"/>
                <w:color w:val="2B2F38"/>
                <w:sz w:val="18"/>
              </w:rPr>
              <w:t>Kroger-National</w:t>
            </w:r>
          </w:p>
        </w:tc>
      </w:tr>
      <w:tr>
        <w:tc>
          <w:tcPr>
            <w:tcW w:type="dxa" w:w="1711"/>
            <w:shd w:val="clear" w:color="auto" w:fill="FFFFFF"/>
          </w:tcPr>
          <w:p>
            <w:pPr>
              <w:spacing w:after="20"/>
            </w:pPr>
            <w:r>
              <w:rPr>
                <w:rFonts w:ascii="Calibri" w:hAnsi="Calibri"/>
                <w:b w:val="0"/>
                <w:i w:val="0"/>
                <w:color w:val="2B2F38"/>
                <w:sz w:val="18"/>
              </w:rPr>
              <w:t>Protein</w:t>
            </w:r>
          </w:p>
        </w:tc>
        <w:tc>
          <w:tcPr>
            <w:tcW w:type="dxa" w:w="2091"/>
            <w:shd w:val="clear" w:color="auto" w:fill="FFFFFF"/>
          </w:tcPr>
          <w:p>
            <w:pPr>
              <w:spacing w:after="20"/>
            </w:pPr>
            <w:r>
              <w:rPr>
                <w:rFonts w:ascii="Calibri" w:hAnsi="Calibri"/>
                <w:b w:val="0"/>
                <w:i w:val="0"/>
                <w:color w:val="2B2F38"/>
                <w:sz w:val="18"/>
              </w:rPr>
              <w:t>Crunchwell</w:t>
            </w:r>
          </w:p>
        </w:tc>
        <w:tc>
          <w:tcPr>
            <w:tcW w:type="dxa" w:w="1901"/>
            <w:shd w:val="clear" w:color="auto" w:fill="FFFFFF"/>
          </w:tcPr>
          <w:p>
            <w:pPr>
              <w:spacing w:after="20"/>
            </w:pPr>
            <w:r>
              <w:rPr>
                <w:rFonts w:ascii="Calibri" w:hAnsi="Calibri"/>
                <w:b w:val="0"/>
                <w:i w:val="0"/>
                <w:color w:val="2B2F38"/>
                <w:sz w:val="18"/>
              </w:rPr>
              <w:t>Simple Truth</w:t>
            </w:r>
          </w:p>
        </w:tc>
        <w:tc>
          <w:tcPr>
            <w:tcW w:type="dxa" w:w="1331"/>
            <w:shd w:val="clear" w:color="auto" w:fill="FFFFFF"/>
          </w:tcPr>
          <w:p>
            <w:pPr>
              <w:spacing w:after="20"/>
              <w:jc w:val="right"/>
            </w:pPr>
            <w:r>
              <w:rPr>
                <w:rFonts w:ascii="Calibri" w:hAnsi="Calibri"/>
                <w:b w:val="0"/>
                <w:i w:val="0"/>
                <w:color w:val="2B2F38"/>
                <w:sz w:val="18"/>
              </w:rPr>
              <w:t>15.3</w:t>
            </w:r>
          </w:p>
        </w:tc>
        <w:tc>
          <w:tcPr>
            <w:tcW w:type="dxa" w:w="1331"/>
            <w:shd w:val="clear" w:color="auto" w:fill="FFFFFF"/>
          </w:tcPr>
          <w:p>
            <w:pPr>
              <w:spacing w:after="20"/>
              <w:jc w:val="right"/>
            </w:pPr>
            <w:r>
              <w:rPr>
                <w:rFonts w:ascii="Calibri" w:hAnsi="Calibri"/>
                <w:b w:val="0"/>
                <w:i w:val="0"/>
                <w:color w:val="2B2F38"/>
                <w:sz w:val="18"/>
              </w:rPr>
              <w:t>+0.4</w:t>
            </w:r>
          </w:p>
        </w:tc>
        <w:tc>
          <w:tcPr>
            <w:tcW w:type="dxa" w:w="1140"/>
            <w:shd w:val="clear" w:color="auto" w:fill="FFFFFF"/>
          </w:tcPr>
          <w:p>
            <w:pPr>
              <w:spacing w:after="20"/>
              <w:jc w:val="right"/>
            </w:pPr>
            <w:r>
              <w:rPr>
                <w:rFonts w:ascii="Calibri" w:hAnsi="Calibri"/>
                <w:b w:val="0"/>
                <w:i w:val="0"/>
                <w:color w:val="2B2F38"/>
                <w:sz w:val="18"/>
              </w:rPr>
              <w:t>Kroger-Cincinnati</w:t>
            </w:r>
          </w:p>
        </w:tc>
      </w:tr>
      <w:tr>
        <w:tc>
          <w:tcPr>
            <w:tcW w:type="dxa" w:w="1711"/>
            <w:shd w:val="clear" w:color="auto" w:fill="F5F7F9"/>
          </w:tcPr>
          <w:p>
            <w:pPr>
              <w:spacing w:after="20"/>
            </w:pPr>
            <w:r>
              <w:rPr>
                <w:rFonts w:ascii="Calibri" w:hAnsi="Calibri"/>
                <w:b w:val="0"/>
                <w:i w:val="0"/>
                <w:color w:val="2B2F38"/>
                <w:sz w:val="18"/>
              </w:rPr>
              <w:t>Wholegrain</w:t>
            </w:r>
          </w:p>
        </w:tc>
        <w:tc>
          <w:tcPr>
            <w:tcW w:type="dxa" w:w="2091"/>
            <w:shd w:val="clear" w:color="auto" w:fill="F5F7F9"/>
          </w:tcPr>
          <w:p>
            <w:pPr>
              <w:spacing w:after="20"/>
            </w:pPr>
            <w:r>
              <w:rPr>
                <w:rFonts w:ascii="Calibri" w:hAnsi="Calibri"/>
                <w:b w:val="0"/>
                <w:i w:val="0"/>
                <w:color w:val="2B2F38"/>
                <w:sz w:val="18"/>
              </w:rPr>
              <w:t>Crunchwell</w:t>
            </w:r>
          </w:p>
        </w:tc>
        <w:tc>
          <w:tcPr>
            <w:tcW w:type="dxa" w:w="1901"/>
            <w:shd w:val="clear" w:color="auto" w:fill="F5F7F9"/>
          </w:tcPr>
          <w:p>
            <w:pPr>
              <w:spacing w:after="20"/>
            </w:pPr>
            <w:r>
              <w:rPr>
                <w:rFonts w:ascii="Calibri" w:hAnsi="Calibri"/>
                <w:b w:val="0"/>
                <w:i w:val="0"/>
                <w:color w:val="2B2F38"/>
                <w:sz w:val="18"/>
              </w:rPr>
              <w:t>Simple Truth</w:t>
            </w:r>
          </w:p>
        </w:tc>
        <w:tc>
          <w:tcPr>
            <w:tcW w:type="dxa" w:w="1331"/>
            <w:shd w:val="clear" w:color="auto" w:fill="F5F7F9"/>
          </w:tcPr>
          <w:p>
            <w:pPr>
              <w:spacing w:after="20"/>
              <w:jc w:val="right"/>
            </w:pPr>
            <w:r>
              <w:rPr>
                <w:rFonts w:ascii="Calibri" w:hAnsi="Calibri"/>
                <w:b w:val="0"/>
                <w:i w:val="0"/>
                <w:color w:val="2B2F38"/>
                <w:sz w:val="18"/>
              </w:rPr>
              <w:t>16.2</w:t>
            </w:r>
          </w:p>
        </w:tc>
        <w:tc>
          <w:tcPr>
            <w:tcW w:type="dxa" w:w="1331"/>
            <w:shd w:val="clear" w:color="auto" w:fill="F5F7F9"/>
          </w:tcPr>
          <w:p>
            <w:pPr>
              <w:spacing w:after="20"/>
              <w:jc w:val="right"/>
            </w:pPr>
            <w:r>
              <w:rPr>
                <w:rFonts w:ascii="Calibri" w:hAnsi="Calibri"/>
                <w:b w:val="0"/>
                <w:i w:val="0"/>
                <w:color w:val="2B2F38"/>
                <w:sz w:val="18"/>
              </w:rPr>
              <w:t>+0.4</w:t>
            </w:r>
          </w:p>
        </w:tc>
        <w:tc>
          <w:tcPr>
            <w:tcW w:type="dxa" w:w="1140"/>
            <w:shd w:val="clear" w:color="auto" w:fill="F5F7F9"/>
          </w:tcPr>
          <w:p>
            <w:pPr>
              <w:spacing w:after="20"/>
              <w:jc w:val="right"/>
            </w:pPr>
            <w:r>
              <w:rPr>
                <w:rFonts w:ascii="Calibri" w:hAnsi="Calibri"/>
                <w:b w:val="0"/>
                <w:i w:val="0"/>
                <w:color w:val="2B2F38"/>
                <w:sz w:val="18"/>
              </w:rPr>
              <w:t>Kroger-National</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seed_kroger_simple_truth_switching.</w:t>
      </w:r>
    </w:p>
    <w:p>
      <w:pPr>
        <w:spacing w:before="80" w:after="40"/>
      </w:pPr>
      <w:r>
        <w:drawing>
          <wp:inline xmlns:a="http://schemas.openxmlformats.org/drawingml/2006/main" xmlns:pic="http://schemas.openxmlformats.org/drawingml/2006/picture">
            <wp:extent cx="6035040" cy="2432191"/>
            <wp:docPr id="1" name="Picture 1"/>
            <wp:cNvGraphicFramePr>
              <a:graphicFrameLocks noChangeAspect="1"/>
            </wp:cNvGraphicFramePr>
            <a:graphic>
              <a:graphicData uri="http://schemas.openxmlformats.org/drawingml/2006/picture">
                <pic:pic>
                  <pic:nvPicPr>
                    <pic:cNvPr id="0" name="r78_switch.png"/>
                    <pic:cNvPicPr/>
                  </pic:nvPicPr>
                  <pic:blipFill>
                    <a:blip r:embed="rId10"/>
                    <a:stretch>
                      <a:fillRect/>
                    </a:stretch>
                  </pic:blipFill>
                  <pic:spPr>
                    <a:xfrm>
                      <a:off x="0" y="0"/>
                      <a:ext cx="6035040" cy="2432191"/>
                    </a:xfrm>
                    <a:prstGeom prst="rect"/>
                  </pic:spPr>
                </pic:pic>
              </a:graphicData>
            </a:graphic>
          </wp:inline>
        </w:drawing>
      </w:r>
    </w:p>
    <w:p>
      <w:pPr>
        <w:keepNext w:val="0"/>
        <w:spacing w:after="160" w:before="0" w:line="274" w:lineRule="auto"/>
      </w:pPr>
      <w:r>
        <w:rPr>
          <w:rFonts w:ascii="Calibri" w:hAnsi="Calibri"/>
          <w:b w:val="0"/>
          <w:i/>
          <w:color w:val="5B6472"/>
          <w:sz w:val="17"/>
        </w:rPr>
        <w:t>The largest single path is traditional family cereal into segment shift — occasions leaving the aisle, not brands losing a head-to-head.</w:t>
      </w:r>
    </w:p>
    <w:p>
      <w:pPr>
        <w:pStyle w:val="ListBullet"/>
        <w:spacing w:after="80" w:line="274" w:lineRule="auto"/>
        <w:ind w:left="403" w:hanging="230"/>
      </w:pPr>
      <w:r>
        <w:rPr>
          <w:rFonts w:ascii="Calibri" w:hAnsi="Calibri"/>
          <w:b/>
          <w:i w:val="0"/>
          <w:color w:val="2B2F38"/>
          <w:sz w:val="21"/>
        </w:rPr>
        <w:t>The largest shifts are segment shifts</w:t>
      </w:r>
      <w:r>
        <w:rPr>
          <w:rFonts w:ascii="Calibri" w:hAnsi="Calibri"/>
          <w:b w:val="0"/>
          <w:i w:val="0"/>
          <w:color w:val="2B2F38"/>
          <w:sz w:val="21"/>
        </w:rPr>
        <w:t>, not brand switches: traditional family cereal into protein-forward, sugar-reduced and ancient-grain positions.</w:t>
      </w:r>
    </w:p>
    <w:p>
      <w:pPr>
        <w:pStyle w:val="ListBullet"/>
        <w:spacing w:after="80" w:line="274" w:lineRule="auto"/>
        <w:ind w:left="403" w:hanging="230"/>
      </w:pPr>
      <w:r>
        <w:rPr>
          <w:rFonts w:ascii="Calibri" w:hAnsi="Calibri"/>
          <w:b/>
          <w:i w:val="0"/>
          <w:color w:val="2B2F38"/>
          <w:sz w:val="21"/>
        </w:rPr>
        <w:t>Where it is a brand switch, Larksfield Field &amp; Honey is the destination</w:t>
      </w:r>
      <w:r>
        <w:rPr>
          <w:rFonts w:ascii="Calibri" w:hAnsi="Calibri"/>
          <w:b w:val="0"/>
          <w:i w:val="0"/>
          <w:color w:val="2B2F38"/>
          <w:sz w:val="21"/>
        </w:rPr>
        <w:t xml:space="preserve"> — strongest in the Kroger-South division, which is consistent with the Louisiana picture.</w:t>
      </w:r>
    </w:p>
    <w:p>
      <w:pPr>
        <w:pStyle w:val="ListBullet"/>
        <w:spacing w:after="80" w:line="274" w:lineRule="auto"/>
        <w:ind w:left="403" w:hanging="230"/>
      </w:pPr>
      <w:r>
        <w:rPr>
          <w:rFonts w:ascii="Calibri" w:hAnsi="Calibri"/>
          <w:b/>
          <w:i w:val="0"/>
          <w:color w:val="2B2F38"/>
          <w:sz w:val="21"/>
        </w:rPr>
        <w:t>Simple Truth takes a meaningful slice</w:t>
      </w:r>
      <w:r>
        <w:rPr>
          <w:rFonts w:ascii="Calibri" w:hAnsi="Calibri"/>
          <w:b w:val="0"/>
          <w:i w:val="0"/>
          <w:color w:val="2B2F38"/>
          <w:sz w:val="21"/>
        </w:rPr>
        <w:t xml:space="preserve"> of Crunchwell volume nationally. That is private label competing on positioning, not on price.</w:t>
      </w:r>
    </w:p>
    <w:p>
      <w:pPr>
        <w:pStyle w:val="ListBullet"/>
        <w:spacing w:after="80" w:line="274" w:lineRule="auto"/>
        <w:ind w:left="403" w:hanging="230"/>
      </w:pPr>
      <w:r>
        <w:rPr>
          <w:rFonts w:ascii="Calibri" w:hAnsi="Calibri"/>
          <w:b/>
          <w:i w:val="0"/>
          <w:color w:val="2B2F38"/>
          <w:sz w:val="21"/>
        </w:rPr>
        <w:t>Implication for the pack:</w:t>
      </w:r>
      <w:r>
        <w:rPr>
          <w:rFonts w:ascii="Calibri" w:hAnsi="Calibri"/>
          <w:b w:val="0"/>
          <w:i w:val="0"/>
          <w:color w:val="2B2F38"/>
          <w:sz w:val="21"/>
        </w:rPr>
        <w:t xml:space="preserve"> we lead with segment growth, not with a defensive Crunchwell argument.</w:t>
      </w:r>
    </w:p>
    <w:p>
      <w:pPr>
        <w:keepNext w:val="0"/>
        <w:spacing w:after="40" w:before="0" w:line="274" w:lineRule="auto"/>
      </w:pPr>
    </w:p>
    <w:p>
      <w:pPr>
        <w:keepNext/>
        <w:spacing w:after="40" w:before="240" w:line="274" w:lineRule="auto"/>
      </w:pPr>
      <w:r>
        <w:rPr>
          <w:rFonts w:ascii="Calibri" w:hAnsi="Calibri"/>
          <w:b/>
          <w:i w:val="0"/>
          <w:color w:val="2E7D75"/>
          <w:sz w:val="18"/>
        </w:rPr>
        <w:t>THREE QUESTIONS</w:t>
      </w:r>
    </w:p>
    <w:p>
      <w:pPr>
        <w:keepNext/>
        <w:spacing w:after="100" w:before="0" w:line="274" w:lineRule="auto"/>
      </w:pPr>
      <w:r>
        <w:rPr>
          <w:rFonts w:ascii="Calibri" w:hAnsi="Calibri"/>
          <w:b/>
          <w:i w:val="0"/>
          <w:color w:val="1F2A44"/>
          <w:sz w:val="31"/>
        </w:rPr>
        <w:t>4 · What we need before the pack is built</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75"/>
        <w:gridCol w:w="4657"/>
        <w:gridCol w:w="2661"/>
        <w:gridCol w:w="1711"/>
      </w:tblGrid>
      <w:tr>
        <w:tc>
          <w:tcPr>
            <w:tcW w:type="dxa" w:w="475"/>
            <w:shd w:val="clear" w:color="auto" w:fill="1F2A44"/>
          </w:tcPr>
          <w:p>
            <w:pPr>
              <w:spacing w:after="20"/>
            </w:pPr>
            <w:r>
              <w:rPr>
                <w:rFonts w:ascii="Calibri" w:hAnsi="Calibri"/>
                <w:b/>
                <w:i w:val="0"/>
                <w:color w:val="FFFFFF"/>
                <w:sz w:val="17"/>
              </w:rPr>
              <w:t>#</w:t>
            </w:r>
          </w:p>
        </w:tc>
        <w:tc>
          <w:tcPr>
            <w:tcW w:type="dxa" w:w="4657"/>
            <w:shd w:val="clear" w:color="auto" w:fill="1F2A44"/>
          </w:tcPr>
          <w:p>
            <w:pPr>
              <w:spacing w:after="20"/>
            </w:pPr>
            <w:r>
              <w:rPr>
                <w:rFonts w:ascii="Calibri" w:hAnsi="Calibri"/>
                <w:b/>
                <w:i w:val="0"/>
                <w:color w:val="FFFFFF"/>
                <w:sz w:val="17"/>
              </w:rPr>
              <w:t>Question</w:t>
            </w:r>
          </w:p>
        </w:tc>
        <w:tc>
          <w:tcPr>
            <w:tcW w:type="dxa" w:w="2661"/>
            <w:shd w:val="clear" w:color="auto" w:fill="1F2A44"/>
          </w:tcPr>
          <w:p>
            <w:pPr>
              <w:spacing w:after="20"/>
            </w:pPr>
            <w:r>
              <w:rPr>
                <w:rFonts w:ascii="Calibri" w:hAnsi="Calibri"/>
                <w:b/>
                <w:i w:val="0"/>
                <w:color w:val="FFFFFF"/>
                <w:sz w:val="17"/>
              </w:rPr>
              <w:t>Who answers it</w:t>
            </w:r>
          </w:p>
        </w:tc>
        <w:tc>
          <w:tcPr>
            <w:tcW w:type="dxa" w:w="1711"/>
            <w:shd w:val="clear" w:color="auto" w:fill="1F2A44"/>
          </w:tcPr>
          <w:p>
            <w:pPr>
              <w:spacing w:after="20"/>
            </w:pPr>
            <w:r>
              <w:rPr>
                <w:rFonts w:ascii="Calibri" w:hAnsi="Calibri"/>
                <w:b/>
                <w:i w:val="0"/>
                <w:color w:val="FFFFFF"/>
                <w:sz w:val="17"/>
              </w:rPr>
              <w:t>By when</w:t>
            </w:r>
          </w:p>
        </w:tc>
      </w:tr>
      <w:tr>
        <w:tc>
          <w:tcPr>
            <w:tcW w:type="dxa" w:w="475"/>
            <w:shd w:val="clear" w:color="auto" w:fill="FFFFFF"/>
          </w:tcPr>
          <w:p>
            <w:pPr>
              <w:spacing w:after="20"/>
            </w:pPr>
            <w:r>
              <w:rPr>
                <w:rFonts w:ascii="Calibri" w:hAnsi="Calibri"/>
                <w:b w:val="0"/>
                <w:i w:val="0"/>
                <w:color w:val="2B2F38"/>
                <w:sz w:val="18"/>
              </w:rPr>
              <w:t>1</w:t>
            </w:r>
          </w:p>
        </w:tc>
        <w:tc>
          <w:tcPr>
            <w:tcW w:type="dxa" w:w="4657"/>
            <w:shd w:val="clear" w:color="auto" w:fill="FFFFFF"/>
          </w:tcPr>
          <w:p>
            <w:pPr>
              <w:spacing w:after="20"/>
            </w:pPr>
            <w:r>
              <w:rPr>
                <w:rFonts w:ascii="Calibri" w:hAnsi="Calibri"/>
                <w:b w:val="0"/>
                <w:i w:val="0"/>
                <w:color w:val="2B2F38"/>
                <w:sz w:val="18"/>
              </w:rPr>
              <w:t>How much of the Kroger-South Field &amp; Honey shift is explained by the same facing and OSA mechanism we found in Louisiana?</w:t>
            </w:r>
          </w:p>
        </w:tc>
        <w:tc>
          <w:tcPr>
            <w:tcW w:type="dxa" w:w="2661"/>
            <w:shd w:val="clear" w:color="auto" w:fill="FFFFFF"/>
          </w:tcPr>
          <w:p>
            <w:pPr>
              <w:spacing w:after="20"/>
            </w:pPr>
            <w:r>
              <w:rPr>
                <w:rFonts w:ascii="Calibri" w:hAnsi="Calibri"/>
                <w:b w:val="0"/>
                <w:i w:val="0"/>
                <w:color w:val="2B2F38"/>
                <w:sz w:val="18"/>
              </w:rPr>
              <w:t>Jordan Hsu with Category Insights</w:t>
            </w:r>
          </w:p>
        </w:tc>
        <w:tc>
          <w:tcPr>
            <w:tcW w:type="dxa" w:w="1711"/>
            <w:shd w:val="clear" w:color="auto" w:fill="FFFFFF"/>
          </w:tcPr>
          <w:p>
            <w:pPr>
              <w:spacing w:after="20"/>
            </w:pPr>
            <w:r>
              <w:rPr>
                <w:rFonts w:ascii="Calibri" w:hAnsi="Calibri"/>
                <w:b w:val="0"/>
                <w:i w:val="0"/>
                <w:color w:val="2B2F38"/>
                <w:sz w:val="18"/>
              </w:rPr>
              <w:t>By Sep 5</w:t>
            </w:r>
          </w:p>
        </w:tc>
      </w:tr>
      <w:tr>
        <w:tc>
          <w:tcPr>
            <w:tcW w:type="dxa" w:w="475"/>
            <w:shd w:val="clear" w:color="auto" w:fill="F5F7F9"/>
          </w:tcPr>
          <w:p>
            <w:pPr>
              <w:spacing w:after="20"/>
            </w:pPr>
            <w:r>
              <w:rPr>
                <w:rFonts w:ascii="Calibri" w:hAnsi="Calibri"/>
                <w:b w:val="0"/>
                <w:i w:val="0"/>
                <w:color w:val="2B2F38"/>
                <w:sz w:val="18"/>
              </w:rPr>
              <w:t>2</w:t>
            </w:r>
          </w:p>
        </w:tc>
        <w:tc>
          <w:tcPr>
            <w:tcW w:type="dxa" w:w="4657"/>
            <w:shd w:val="clear" w:color="auto" w:fill="F5F7F9"/>
          </w:tcPr>
          <w:p>
            <w:pPr>
              <w:spacing w:after="20"/>
            </w:pPr>
            <w:r>
              <w:rPr>
                <w:rFonts w:ascii="Calibri" w:hAnsi="Calibri"/>
                <w:b w:val="0"/>
                <w:i w:val="0"/>
                <w:color w:val="2B2F38"/>
                <w:sz w:val="18"/>
              </w:rPr>
              <w:t>What is the incremental value of full ProteinPeak line authorisation at Kroger, using the Target-versus-Walmart gap as the analogue?</w:t>
            </w:r>
          </w:p>
        </w:tc>
        <w:tc>
          <w:tcPr>
            <w:tcW w:type="dxa" w:w="2661"/>
            <w:shd w:val="clear" w:color="auto" w:fill="F5F7F9"/>
          </w:tcPr>
          <w:p>
            <w:pPr>
              <w:spacing w:after="20"/>
            </w:pPr>
            <w:r>
              <w:rPr>
                <w:rFonts w:ascii="Calibri" w:hAnsi="Calibri"/>
                <w:b w:val="0"/>
                <w:i w:val="0"/>
                <w:color w:val="2B2F38"/>
                <w:sz w:val="18"/>
              </w:rPr>
              <w:t>Maya Chen / Sage Park</w:t>
            </w:r>
          </w:p>
        </w:tc>
        <w:tc>
          <w:tcPr>
            <w:tcW w:type="dxa" w:w="1711"/>
            <w:shd w:val="clear" w:color="auto" w:fill="F5F7F9"/>
          </w:tcPr>
          <w:p>
            <w:pPr>
              <w:spacing w:after="20"/>
            </w:pPr>
            <w:r>
              <w:rPr>
                <w:rFonts w:ascii="Calibri" w:hAnsi="Calibri"/>
                <w:b w:val="0"/>
                <w:i w:val="0"/>
                <w:color w:val="2B2F38"/>
                <w:sz w:val="18"/>
              </w:rPr>
              <w:t>By Sep 15</w:t>
            </w:r>
          </w:p>
        </w:tc>
      </w:tr>
      <w:tr>
        <w:tc>
          <w:tcPr>
            <w:tcW w:type="dxa" w:w="475"/>
            <w:shd w:val="clear" w:color="auto" w:fill="FFFFFF"/>
          </w:tcPr>
          <w:p>
            <w:pPr>
              <w:spacing w:after="20"/>
            </w:pPr>
            <w:r>
              <w:rPr>
                <w:rFonts w:ascii="Calibri" w:hAnsi="Calibri"/>
                <w:b w:val="0"/>
                <w:i w:val="0"/>
                <w:color w:val="2B2F38"/>
                <w:sz w:val="18"/>
              </w:rPr>
              <w:t>3</w:t>
            </w:r>
          </w:p>
        </w:tc>
        <w:tc>
          <w:tcPr>
            <w:tcW w:type="dxa" w:w="4657"/>
            <w:shd w:val="clear" w:color="auto" w:fill="FFFFFF"/>
          </w:tcPr>
          <w:p>
            <w:pPr>
              <w:spacing w:after="20"/>
            </w:pPr>
            <w:r>
              <w:rPr>
                <w:rFonts w:ascii="Calibri" w:hAnsi="Calibri"/>
                <w:b w:val="0"/>
                <w:i w:val="0"/>
                <w:color w:val="2B2F38"/>
                <w:sz w:val="18"/>
              </w:rPr>
              <w:t>Does a 0.60-index trade calendar hold volume at Kroger, where our index is already 0.57 — better than the portfolio?</w:t>
            </w:r>
          </w:p>
        </w:tc>
        <w:tc>
          <w:tcPr>
            <w:tcW w:type="dxa" w:w="2661"/>
            <w:shd w:val="clear" w:color="auto" w:fill="FFFFFF"/>
          </w:tcPr>
          <w:p>
            <w:pPr>
              <w:spacing w:after="20"/>
            </w:pPr>
            <w:r>
              <w:rPr>
                <w:rFonts w:ascii="Calibri" w:hAnsi="Calibri"/>
                <w:b w:val="0"/>
                <w:i w:val="0"/>
                <w:color w:val="2B2F38"/>
                <w:sz w:val="18"/>
              </w:rPr>
              <w:t>Trade Finance</w:t>
            </w:r>
          </w:p>
        </w:tc>
        <w:tc>
          <w:tcPr>
            <w:tcW w:type="dxa" w:w="1711"/>
            <w:shd w:val="clear" w:color="auto" w:fill="FFFFFF"/>
          </w:tcPr>
          <w:p>
            <w:pPr>
              <w:spacing w:after="20"/>
            </w:pPr>
            <w:r>
              <w:rPr>
                <w:rFonts w:ascii="Calibri" w:hAnsi="Calibri"/>
                <w:b w:val="0"/>
                <w:i w:val="0"/>
                <w:color w:val="2B2F38"/>
                <w:sz w:val="18"/>
              </w:rPr>
              <w:t>By Sep 20</w:t>
            </w:r>
          </w:p>
        </w:tc>
      </w:tr>
    </w:tbl>
    <w:p>
      <w:pPr>
        <w:keepNext w:val="0"/>
        <w:spacing w:after="60" w:before="0" w:line="274" w:lineRule="auto"/>
      </w:pPr>
    </w:p>
    <w:tbl>
      <w:tblPr>
        <w:tblW w:w="9504" w:type="dxa"/>
        <w:tblBorders>
          <w:top w:val="none"/>
          <w:left w:val="single" w:sz="24" w:color="B98A2E"/>
          <w:bottom w:val="none"/>
          <w:right w:val="none"/>
          <w:insideH w:val="none"/>
          <w:insideV w:val="none"/>
        </w:tblBorders>
        <w:tblLayout w:type="fixed"/>
        <w:tblCellMar>
          <w:top w:w="40" w:type="dxa"/>
          <w:left w:w="110" w:type="dxa"/>
          <w:bottom w:w="40" w:type="dxa"/>
          <w:right w:w="110" w:type="dxa"/>
        </w:tblCellMar>
        <w:tblLook w:firstColumn="1" w:firstRow="1" w:lastColumn="0" w:lastRow="0" w:noHBand="0" w:noVBand="1" w:val="04A0"/>
      </w:tblPr>
      <w:tblGrid>
        <w:gridCol w:w="9504"/>
      </w:tblGrid>
      <w:tr>
        <w:tc>
          <w:tcPr>
            <w:tcW w:type="dxa" w:w="9504"/>
            <w:shd w:val="clear" w:color="auto" w:fill="F5F7F9"/>
          </w:tcPr>
          <w:p>
            <w:pPr>
              <w:spacing w:after="40"/>
            </w:pPr>
            <w:r>
              <w:rPr>
                <w:rFonts w:ascii="Calibri" w:hAnsi="Calibri"/>
                <w:b/>
                <w:i w:val="0"/>
                <w:color w:val="1F2A44"/>
                <w:sz w:val="21"/>
              </w:rPr>
              <w:t>Why question 1 matters most</w:t>
            </w:r>
          </w:p>
          <w:p>
            <w:pPr>
              <w:spacing w:after="40" w:line="274" w:lineRule="auto"/>
            </w:pPr>
            <w:r>
              <w:rPr>
                <w:rFonts w:ascii="Calibri" w:hAnsi="Calibri"/>
                <w:b w:val="0"/>
                <w:i w:val="0"/>
                <w:color w:val="2B2F38"/>
                <w:sz w:val="20"/>
              </w:rPr>
              <w:t>If the Kroger-South shift has the same mechanism as Louisiana — lost facings and poor on-shelf availability rather than shopper preference — then the November ask is a shelf ask and the analysis is already largely done. If it is genuinely preference, the ask is an assortment ask and the pack looks completely different.</w:t>
            </w:r>
          </w:p>
        </w:tc>
      </w:tr>
    </w:tbl>
    <w:p>
      <w:pPr>
        <w:keepNext w:val="0"/>
        <w:spacing w:after="80" w:before="0" w:line="274" w:lineRule="auto"/>
      </w:pPr>
    </w:p>
    <w:p>
      <w:pPr>
        <w:keepNext/>
        <w:spacing w:after="40" w:before="240" w:line="274" w:lineRule="auto"/>
      </w:pPr>
      <w:r>
        <w:rPr>
          <w:rFonts w:ascii="Calibri" w:hAnsi="Calibri"/>
          <w:b/>
          <w:i w:val="0"/>
          <w:color w:val="2E7D75"/>
          <w:sz w:val="18"/>
        </w:rPr>
        <w:t>THE LIKELY ASKS</w:t>
      </w:r>
    </w:p>
    <w:p>
      <w:pPr>
        <w:keepNext/>
        <w:spacing w:after="100" w:before="0" w:line="274" w:lineRule="auto"/>
      </w:pPr>
      <w:r>
        <w:rPr>
          <w:rFonts w:ascii="Calibri" w:hAnsi="Calibri"/>
          <w:b/>
          <w:i w:val="0"/>
          <w:color w:val="1F2A44"/>
          <w:sz w:val="31"/>
        </w:rPr>
        <w:t>5 · What we expect to take in</w:t>
      </w:r>
    </w:p>
    <w:p>
      <w:pPr>
        <w:pStyle w:val="ListBullet"/>
        <w:spacing w:after="80" w:line="274" w:lineRule="auto"/>
        <w:ind w:left="403" w:hanging="230"/>
      </w:pPr>
      <w:r>
        <w:rPr>
          <w:rFonts w:ascii="Calibri" w:hAnsi="Calibri"/>
          <w:b/>
          <w:i w:val="0"/>
          <w:color w:val="2B2F38"/>
          <w:sz w:val="21"/>
        </w:rPr>
        <w:t>Full ProteinPeak line authorisation</w:t>
      </w:r>
      <w:r>
        <w:rPr>
          <w:rFonts w:ascii="Calibri" w:hAnsi="Calibri"/>
          <w:b w:val="0"/>
          <w:i w:val="0"/>
          <w:color w:val="2B2F38"/>
          <w:sz w:val="21"/>
        </w:rPr>
        <w:t>, on the same growth case we are taking to Walmart (Report 77).</w:t>
      </w:r>
    </w:p>
    <w:p>
      <w:pPr>
        <w:pStyle w:val="ListBullet"/>
        <w:spacing w:after="80" w:line="274" w:lineRule="auto"/>
        <w:ind w:left="403" w:hanging="230"/>
      </w:pPr>
      <w:r>
        <w:rPr>
          <w:rFonts w:ascii="Calibri" w:hAnsi="Calibri"/>
          <w:b/>
          <w:i w:val="0"/>
          <w:color w:val="2B2F38"/>
          <w:sz w:val="21"/>
        </w:rPr>
        <w:t>Chocolate Almond</w:t>
      </w:r>
      <w:r>
        <w:rPr>
          <w:rFonts w:ascii="Calibri" w:hAnsi="Calibri"/>
          <w:b w:val="0"/>
          <w:i w:val="0"/>
          <w:color w:val="2B2F38"/>
          <w:sz w:val="21"/>
        </w:rPr>
        <w:t xml:space="preserve"> for Q1 FY2027, subject to the Q4 line reviews and the SteerCo gate (Report 68).</w:t>
      </w:r>
    </w:p>
    <w:p>
      <w:pPr>
        <w:pStyle w:val="ListBullet"/>
        <w:spacing w:after="80" w:line="274" w:lineRule="auto"/>
        <w:ind w:left="403" w:hanging="230"/>
      </w:pPr>
      <w:r>
        <w:rPr>
          <w:rFonts w:ascii="Calibri" w:hAnsi="Calibri"/>
          <w:b/>
          <w:i w:val="0"/>
          <w:color w:val="2B2F38"/>
          <w:sz w:val="21"/>
        </w:rPr>
        <w:t>Crunchwell Pack Refresh planograms</w:t>
      </w:r>
      <w:r>
        <w:rPr>
          <w:rFonts w:ascii="Calibri" w:hAnsi="Calibri"/>
          <w:b w:val="0"/>
          <w:i w:val="0"/>
          <w:color w:val="2B2F38"/>
          <w:sz w:val="21"/>
        </w:rPr>
        <w:t xml:space="preserve"> for the FY27 reset, with pre-built inventory.</w:t>
      </w:r>
    </w:p>
    <w:p>
      <w:pPr>
        <w:pStyle w:val="ListBullet"/>
        <w:spacing w:after="80" w:line="274" w:lineRule="auto"/>
        <w:ind w:left="403" w:hanging="230"/>
      </w:pPr>
      <w:r>
        <w:rPr>
          <w:rFonts w:ascii="Calibri" w:hAnsi="Calibri"/>
          <w:b/>
          <w:i w:val="0"/>
          <w:color w:val="2B2F38"/>
          <w:sz w:val="21"/>
        </w:rPr>
        <w:t>Kroger Precision Marketing weight increase</w:t>
      </w:r>
      <w:r>
        <w:rPr>
          <w:rFonts w:ascii="Calibri" w:hAnsi="Calibri"/>
          <w:b w:val="0"/>
          <w:i w:val="0"/>
          <w:color w:val="2B2F38"/>
          <w:sz w:val="21"/>
        </w:rPr>
        <w:t>, funded from the Amazon Ads reallocation — Kroger Precision runs at a 0.77 modelled ratio (Report 74).</w:t>
      </w:r>
    </w:p>
    <w:p>
      <w:pPr>
        <w:pStyle w:val="ListBullet"/>
        <w:spacing w:after="80" w:line="274" w:lineRule="auto"/>
        <w:ind w:left="403" w:hanging="230"/>
      </w:pPr>
      <w:r>
        <w:rPr>
          <w:rFonts w:ascii="Calibri" w:hAnsi="Calibri"/>
          <w:b/>
          <w:i w:val="0"/>
          <w:color w:val="2B2F38"/>
          <w:sz w:val="21"/>
        </w:rPr>
        <w:t>TrailGrove distribution gaps</w:t>
      </w:r>
      <w:r>
        <w:rPr>
          <w:rFonts w:ascii="Calibri" w:hAnsi="Calibri"/>
          <w:b w:val="0"/>
          <w:i w:val="0"/>
          <w:color w:val="2B2F38"/>
          <w:sz w:val="21"/>
        </w:rPr>
        <w:t xml:space="preserve"> in granola and bars, which is the cheapest incremental volume available in this account.</w:t>
      </w:r>
    </w:p>
    <w:p>
      <w:pPr>
        <w:keepNext w:val="0"/>
        <w:spacing w:after="40" w:before="0" w:line="274" w:lineRule="auto"/>
      </w:pPr>
    </w:p>
    <w:p>
      <w:pPr>
        <w:keepNext/>
        <w:spacing w:after="40" w:before="240" w:line="274" w:lineRule="auto"/>
      </w:pPr>
      <w:r>
        <w:rPr>
          <w:rFonts w:ascii="Calibri" w:hAnsi="Calibri"/>
          <w:b/>
          <w:i w:val="0"/>
          <w:color w:val="2E7D75"/>
          <w:sz w:val="18"/>
        </w:rPr>
        <w:t>WHAT WE BRING</w:t>
      </w:r>
    </w:p>
    <w:p>
      <w:pPr>
        <w:keepNext/>
        <w:spacing w:after="100" w:before="0" w:line="274" w:lineRule="auto"/>
      </w:pPr>
      <w:r>
        <w:rPr>
          <w:rFonts w:ascii="Calibri" w:hAnsi="Calibri"/>
          <w:b/>
          <w:i w:val="0"/>
          <w:color w:val="1F2A44"/>
          <w:sz w:val="31"/>
        </w:rPr>
        <w:t>6 · The give side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992"/>
        <w:gridCol w:w="5512"/>
      </w:tblGrid>
      <w:tr>
        <w:tc>
          <w:tcPr>
            <w:tcW w:type="dxa" w:w="3992"/>
            <w:shd w:val="clear" w:color="auto" w:fill="1F2A44"/>
          </w:tcPr>
          <w:p>
            <w:pPr>
              <w:spacing w:after="20"/>
            </w:pPr>
            <w:r>
              <w:rPr>
                <w:rFonts w:ascii="Calibri" w:hAnsi="Calibri"/>
                <w:b/>
                <w:i w:val="0"/>
                <w:color w:val="FFFFFF"/>
                <w:sz w:val="17"/>
              </w:rPr>
              <w:t>What we bring</w:t>
            </w:r>
          </w:p>
        </w:tc>
        <w:tc>
          <w:tcPr>
            <w:tcW w:type="dxa" w:w="5512"/>
            <w:shd w:val="clear" w:color="auto" w:fill="1F2A44"/>
          </w:tcPr>
          <w:p>
            <w:pPr>
              <w:spacing w:after="20"/>
            </w:pPr>
            <w:r>
              <w:rPr>
                <w:rFonts w:ascii="Calibri" w:hAnsi="Calibri"/>
                <w:b/>
                <w:i w:val="0"/>
                <w:color w:val="FFFFFF"/>
                <w:sz w:val="17"/>
              </w:rPr>
              <w:t>Value to Kroger</w:t>
            </w:r>
          </w:p>
        </w:tc>
      </w:tr>
      <w:tr>
        <w:tc>
          <w:tcPr>
            <w:tcW w:type="dxa" w:w="3992"/>
            <w:shd w:val="clear" w:color="auto" w:fill="FFFFFF"/>
          </w:tcPr>
          <w:p>
            <w:pPr>
              <w:spacing w:after="20"/>
            </w:pPr>
            <w:r>
              <w:rPr>
                <w:rFonts w:ascii="Calibri" w:hAnsi="Calibri"/>
                <w:b w:val="0"/>
                <w:i w:val="0"/>
                <w:color w:val="2B2F38"/>
                <w:sz w:val="18"/>
              </w:rPr>
              <w:t>FY27 trade calendar at a 0.60 incrementality floor</w:t>
            </w:r>
          </w:p>
        </w:tc>
        <w:tc>
          <w:tcPr>
            <w:tcW w:type="dxa" w:w="5512"/>
            <w:shd w:val="clear" w:color="auto" w:fill="FFFFFF"/>
          </w:tcPr>
          <w:p>
            <w:pPr>
              <w:spacing w:after="20"/>
            </w:pPr>
            <w:r>
              <w:rPr>
                <w:rFonts w:ascii="Calibri" w:hAnsi="Calibri"/>
                <w:b w:val="0"/>
                <w:i w:val="0"/>
                <w:color w:val="2B2F38"/>
                <w:sz w:val="18"/>
              </w:rPr>
              <w:t>Fewer, better-timed events; higher category dollars per promoted week</w:t>
            </w:r>
          </w:p>
        </w:tc>
      </w:tr>
      <w:tr>
        <w:tc>
          <w:tcPr>
            <w:tcW w:type="dxa" w:w="3992"/>
            <w:shd w:val="clear" w:color="auto" w:fill="F5F7F9"/>
          </w:tcPr>
          <w:p>
            <w:pPr>
              <w:spacing w:after="20"/>
            </w:pPr>
            <w:r>
              <w:rPr>
                <w:rFonts w:ascii="Calibri" w:hAnsi="Calibri"/>
                <w:b w:val="0"/>
                <w:i w:val="0"/>
                <w:color w:val="2B2F38"/>
                <w:sz w:val="18"/>
              </w:rPr>
              <w:t>Feature-and-display weight funded from depth reduction</w:t>
            </w:r>
          </w:p>
        </w:tc>
        <w:tc>
          <w:tcPr>
            <w:tcW w:type="dxa" w:w="5512"/>
            <w:shd w:val="clear" w:color="auto" w:fill="F5F7F9"/>
          </w:tcPr>
          <w:p>
            <w:pPr>
              <w:spacing w:after="20"/>
            </w:pPr>
            <w:r>
              <w:rPr>
                <w:rFonts w:ascii="Calibri" w:hAnsi="Calibri"/>
                <w:b w:val="0"/>
                <w:i w:val="0"/>
                <w:color w:val="2B2F38"/>
                <w:sz w:val="18"/>
              </w:rPr>
              <w:t>Display support that builds the category rather than discounting it</w:t>
            </w:r>
          </w:p>
        </w:tc>
      </w:tr>
      <w:tr>
        <w:tc>
          <w:tcPr>
            <w:tcW w:type="dxa" w:w="3992"/>
            <w:shd w:val="clear" w:color="auto" w:fill="FFFFFF"/>
          </w:tcPr>
          <w:p>
            <w:pPr>
              <w:spacing w:after="20"/>
            </w:pPr>
            <w:r>
              <w:rPr>
                <w:rFonts w:ascii="Calibri" w:hAnsi="Calibri"/>
                <w:b w:val="0"/>
                <w:i w:val="0"/>
                <w:color w:val="2B2F38"/>
                <w:sz w:val="18"/>
              </w:rPr>
              <w:t>Kroger Precision investment increase</w:t>
            </w:r>
          </w:p>
        </w:tc>
        <w:tc>
          <w:tcPr>
            <w:tcW w:type="dxa" w:w="5512"/>
            <w:shd w:val="clear" w:color="auto" w:fill="FFFFFF"/>
          </w:tcPr>
          <w:p>
            <w:pPr>
              <w:spacing w:after="20"/>
            </w:pPr>
            <w:r>
              <w:rPr>
                <w:rFonts w:ascii="Calibri" w:hAnsi="Calibri"/>
                <w:b w:val="0"/>
                <w:i w:val="0"/>
                <w:color w:val="2B2F38"/>
                <w:sz w:val="18"/>
              </w:rPr>
              <w:t>Retail-media revenue at a proven ratio</w:t>
            </w:r>
          </w:p>
        </w:tc>
      </w:tr>
      <w:tr>
        <w:tc>
          <w:tcPr>
            <w:tcW w:type="dxa" w:w="3992"/>
            <w:shd w:val="clear" w:color="auto" w:fill="F5F7F9"/>
          </w:tcPr>
          <w:p>
            <w:pPr>
              <w:spacing w:after="20"/>
            </w:pPr>
            <w:r>
              <w:rPr>
                <w:rFonts w:ascii="Calibri" w:hAnsi="Calibri"/>
                <w:b w:val="0"/>
                <w:i w:val="0"/>
                <w:color w:val="2B2F38"/>
                <w:sz w:val="18"/>
              </w:rPr>
              <w:t>Pack Refresh readiness with pre-built inventory</w:t>
            </w:r>
          </w:p>
        </w:tc>
        <w:tc>
          <w:tcPr>
            <w:tcW w:type="dxa" w:w="5512"/>
            <w:shd w:val="clear" w:color="auto" w:fill="F5F7F9"/>
          </w:tcPr>
          <w:p>
            <w:pPr>
              <w:spacing w:after="20"/>
            </w:pPr>
            <w:r>
              <w:rPr>
                <w:rFonts w:ascii="Calibri" w:hAnsi="Calibri"/>
                <w:b w:val="0"/>
                <w:i w:val="0"/>
                <w:color w:val="2B2F38"/>
                <w:sz w:val="18"/>
              </w:rPr>
              <w:t>No service risk at the reset</w:t>
            </w:r>
          </w:p>
        </w:tc>
      </w:tr>
      <w:tr>
        <w:tc>
          <w:tcPr>
            <w:tcW w:type="dxa" w:w="3992"/>
            <w:shd w:val="clear" w:color="auto" w:fill="FFFFFF"/>
          </w:tcPr>
          <w:p>
            <w:pPr>
              <w:spacing w:after="20"/>
            </w:pPr>
            <w:r>
              <w:rPr>
                <w:rFonts w:ascii="Calibri" w:hAnsi="Calibri"/>
                <w:b w:val="0"/>
                <w:i w:val="0"/>
                <w:color w:val="2B2F38"/>
                <w:sz w:val="18"/>
              </w:rPr>
              <w:t>Segment-growth analysis by division</w:t>
            </w:r>
          </w:p>
        </w:tc>
        <w:tc>
          <w:tcPr>
            <w:tcW w:type="dxa" w:w="5512"/>
            <w:shd w:val="clear" w:color="auto" w:fill="FFFFFF"/>
          </w:tcPr>
          <w:p>
            <w:pPr>
              <w:spacing w:after="20"/>
            </w:pPr>
            <w:r>
              <w:rPr>
                <w:rFonts w:ascii="Calibri" w:hAnsi="Calibri"/>
                <w:b w:val="0"/>
                <w:i w:val="0"/>
                <w:color w:val="2B2F38"/>
                <w:sz w:val="18"/>
              </w:rPr>
              <w:t>Category insight Kroger does not have to build</w:t>
            </w:r>
          </w:p>
        </w:tc>
      </w:tr>
    </w:tbl>
    <w:p>
      <w:pPr>
        <w:keepNext w:val="0"/>
        <w:spacing w:after="60" w:before="0" w:line="274" w:lineRule="auto"/>
      </w:pPr>
    </w:p>
    <w:p>
      <w:pPr>
        <w:keepNext/>
        <w:spacing w:after="60" w:before="180" w:line="274" w:lineRule="auto"/>
      </w:pPr>
      <w:r>
        <w:rPr>
          <w:rFonts w:ascii="Calibri" w:hAnsi="Calibri"/>
          <w:b/>
          <w:i w:val="0"/>
          <w:color w:val="1F2A44"/>
          <w:sz w:val="23"/>
        </w:rPr>
        <w:t>Recommendations &amp; next steps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75"/>
        <w:gridCol w:w="5227"/>
        <w:gridCol w:w="2281"/>
        <w:gridCol w:w="1521"/>
      </w:tblGrid>
      <w:tr>
        <w:tc>
          <w:tcPr>
            <w:tcW w:type="dxa" w:w="475"/>
            <w:shd w:val="clear" w:color="auto" w:fill="1F2A44"/>
          </w:tcPr>
          <w:p>
            <w:pPr>
              <w:spacing w:after="20"/>
            </w:pPr>
            <w:r>
              <w:rPr>
                <w:rFonts w:ascii="Calibri" w:hAnsi="Calibri"/>
                <w:b/>
                <w:i w:val="0"/>
                <w:color w:val="FFFFFF"/>
                <w:sz w:val="18"/>
              </w:rPr>
              <w:t>#</w:t>
            </w:r>
          </w:p>
        </w:tc>
        <w:tc>
          <w:tcPr>
            <w:tcW w:type="dxa" w:w="5227"/>
            <w:shd w:val="clear" w:color="auto" w:fill="1F2A44"/>
          </w:tcPr>
          <w:p>
            <w:pPr>
              <w:spacing w:after="20"/>
            </w:pPr>
            <w:r>
              <w:rPr>
                <w:rFonts w:ascii="Calibri" w:hAnsi="Calibri"/>
                <w:b/>
                <w:i w:val="0"/>
                <w:color w:val="FFFFFF"/>
                <w:sz w:val="18"/>
              </w:rPr>
              <w:t>Action</w:t>
            </w:r>
          </w:p>
        </w:tc>
        <w:tc>
          <w:tcPr>
            <w:tcW w:type="dxa" w:w="2281"/>
            <w:shd w:val="clear" w:color="auto" w:fill="1F2A44"/>
          </w:tcPr>
          <w:p>
            <w:pPr>
              <w:spacing w:after="20"/>
            </w:pPr>
            <w:r>
              <w:rPr>
                <w:rFonts w:ascii="Calibri" w:hAnsi="Calibri"/>
                <w:b/>
                <w:i w:val="0"/>
                <w:color w:val="FFFFFF"/>
                <w:sz w:val="18"/>
              </w:rPr>
              <w:t>Owner</w:t>
            </w:r>
          </w:p>
        </w:tc>
        <w:tc>
          <w:tcPr>
            <w:tcW w:type="dxa" w:w="1521"/>
            <w:shd w:val="clear" w:color="auto" w:fill="1F2A44"/>
          </w:tcPr>
          <w:p>
            <w:pPr>
              <w:spacing w:after="20"/>
              <w:jc w:val="right"/>
            </w:pPr>
            <w:r>
              <w:rPr>
                <w:rFonts w:ascii="Calibri" w:hAnsi="Calibri"/>
                <w:b/>
                <w:i w:val="0"/>
                <w:color w:val="FFFFFF"/>
                <w:sz w:val="18"/>
              </w:rPr>
              <w:t>When</w:t>
            </w:r>
          </w:p>
        </w:tc>
      </w:tr>
      <w:tr>
        <w:tc>
          <w:tcPr>
            <w:tcW w:type="dxa" w:w="475"/>
            <w:shd w:val="clear" w:color="auto" w:fill="FFFFFF"/>
          </w:tcPr>
          <w:p>
            <w:pPr>
              <w:spacing w:after="20"/>
            </w:pPr>
            <w:r>
              <w:rPr>
                <w:rFonts w:ascii="Calibri" w:hAnsi="Calibri"/>
                <w:b w:val="0"/>
                <w:i w:val="0"/>
                <w:color w:val="2B2F38"/>
                <w:sz w:val="19"/>
              </w:rPr>
              <w:t>1</w:t>
            </w:r>
          </w:p>
        </w:tc>
        <w:tc>
          <w:tcPr>
            <w:tcW w:type="dxa" w:w="5227"/>
            <w:shd w:val="clear" w:color="auto" w:fill="FFFFFF"/>
          </w:tcPr>
          <w:p>
            <w:pPr>
              <w:spacing w:after="20"/>
            </w:pPr>
            <w:r>
              <w:rPr>
                <w:rFonts w:ascii="Calibri" w:hAnsi="Calibri"/>
                <w:b w:val="0"/>
                <w:i w:val="0"/>
                <w:color w:val="2B2F38"/>
                <w:sz w:val="19"/>
              </w:rPr>
              <w:t>Commission the three analytical questions now, not in October</w:t>
            </w:r>
          </w:p>
        </w:tc>
        <w:tc>
          <w:tcPr>
            <w:tcW w:type="dxa" w:w="2281"/>
            <w:shd w:val="clear" w:color="auto" w:fill="FFFFFF"/>
          </w:tcPr>
          <w:p>
            <w:pPr>
              <w:spacing w:after="20"/>
            </w:pPr>
            <w:r>
              <w:rPr>
                <w:rFonts w:ascii="Calibri" w:hAnsi="Calibri"/>
                <w:b w:val="0"/>
                <w:i w:val="0"/>
                <w:color w:val="2B2F38"/>
                <w:sz w:val="19"/>
              </w:rPr>
              <w:t>Priya Raman</w:t>
            </w:r>
          </w:p>
        </w:tc>
        <w:tc>
          <w:tcPr>
            <w:tcW w:type="dxa" w:w="1521"/>
            <w:shd w:val="clear" w:color="auto" w:fill="FFFFFF"/>
          </w:tcPr>
          <w:p>
            <w:pPr>
              <w:spacing w:after="20"/>
              <w:jc w:val="right"/>
            </w:pPr>
            <w:r>
              <w:rPr>
                <w:rFonts w:ascii="Calibri" w:hAnsi="Calibri"/>
                <w:b w:val="0"/>
                <w:i w:val="0"/>
                <w:color w:val="2B2F38"/>
                <w:sz w:val="19"/>
              </w:rPr>
              <w:t>By Aug 1</w:t>
            </w:r>
          </w:p>
        </w:tc>
      </w:tr>
      <w:tr>
        <w:tc>
          <w:tcPr>
            <w:tcW w:type="dxa" w:w="475"/>
            <w:shd w:val="clear" w:color="auto" w:fill="F5F7F9"/>
          </w:tcPr>
          <w:p>
            <w:pPr>
              <w:spacing w:after="20"/>
            </w:pPr>
            <w:r>
              <w:rPr>
                <w:rFonts w:ascii="Calibri" w:hAnsi="Calibri"/>
                <w:b w:val="0"/>
                <w:i w:val="0"/>
                <w:color w:val="2B2F38"/>
                <w:sz w:val="19"/>
              </w:rPr>
              <w:t>2</w:t>
            </w:r>
          </w:p>
        </w:tc>
        <w:tc>
          <w:tcPr>
            <w:tcW w:type="dxa" w:w="5227"/>
            <w:shd w:val="clear" w:color="auto" w:fill="F5F7F9"/>
          </w:tcPr>
          <w:p>
            <w:pPr>
              <w:spacing w:after="20"/>
            </w:pPr>
            <w:r>
              <w:rPr>
                <w:rFonts w:ascii="Calibri" w:hAnsi="Calibri"/>
                <w:b w:val="0"/>
                <w:i w:val="0"/>
                <w:color w:val="2B2F38"/>
                <w:sz w:val="19"/>
              </w:rPr>
              <w:t>Reuse the Walmart protein growth case rather than building a new one</w:t>
            </w:r>
          </w:p>
        </w:tc>
        <w:tc>
          <w:tcPr>
            <w:tcW w:type="dxa" w:w="2281"/>
            <w:shd w:val="clear" w:color="auto" w:fill="F5F7F9"/>
          </w:tcPr>
          <w:p>
            <w:pPr>
              <w:spacing w:after="20"/>
            </w:pPr>
            <w:r>
              <w:rPr>
                <w:rFonts w:ascii="Calibri" w:hAnsi="Calibri"/>
                <w:b w:val="0"/>
                <w:i w:val="0"/>
                <w:color w:val="2B2F38"/>
                <w:sz w:val="19"/>
              </w:rPr>
              <w:t>Priya Raman</w:t>
            </w:r>
          </w:p>
        </w:tc>
        <w:tc>
          <w:tcPr>
            <w:tcW w:type="dxa" w:w="1521"/>
            <w:shd w:val="clear" w:color="auto" w:fill="F5F7F9"/>
          </w:tcPr>
          <w:p>
            <w:pPr>
              <w:spacing w:after="20"/>
              <w:jc w:val="right"/>
            </w:pPr>
            <w:r>
              <w:rPr>
                <w:rFonts w:ascii="Calibri" w:hAnsi="Calibri"/>
                <w:b w:val="0"/>
                <w:i w:val="0"/>
                <w:color w:val="2B2F38"/>
                <w:sz w:val="19"/>
              </w:rPr>
              <w:t>By Sep 15</w:t>
            </w:r>
          </w:p>
        </w:tc>
      </w:tr>
      <w:tr>
        <w:tc>
          <w:tcPr>
            <w:tcW w:type="dxa" w:w="475"/>
            <w:shd w:val="clear" w:color="auto" w:fill="FFFFFF"/>
          </w:tcPr>
          <w:p>
            <w:pPr>
              <w:spacing w:after="20"/>
            </w:pPr>
            <w:r>
              <w:rPr>
                <w:rFonts w:ascii="Calibri" w:hAnsi="Calibri"/>
                <w:b w:val="0"/>
                <w:i w:val="0"/>
                <w:color w:val="2B2F38"/>
                <w:sz w:val="19"/>
              </w:rPr>
              <w:t>3</w:t>
            </w:r>
          </w:p>
        </w:tc>
        <w:tc>
          <w:tcPr>
            <w:tcW w:type="dxa" w:w="5227"/>
            <w:shd w:val="clear" w:color="auto" w:fill="FFFFFF"/>
          </w:tcPr>
          <w:p>
            <w:pPr>
              <w:spacing w:after="20"/>
            </w:pPr>
            <w:r>
              <w:rPr>
                <w:rFonts w:ascii="Calibri" w:hAnsi="Calibri"/>
                <w:b w:val="0"/>
                <w:i w:val="0"/>
                <w:color w:val="2B2F38"/>
                <w:sz w:val="19"/>
              </w:rPr>
              <w:t>Fund the Kroger Precision increase from the Amazon reallocation</w:t>
            </w:r>
          </w:p>
        </w:tc>
        <w:tc>
          <w:tcPr>
            <w:tcW w:type="dxa" w:w="2281"/>
            <w:shd w:val="clear" w:color="auto" w:fill="FFFFFF"/>
          </w:tcPr>
          <w:p>
            <w:pPr>
              <w:spacing w:after="20"/>
            </w:pPr>
            <w:r>
              <w:rPr>
                <w:rFonts w:ascii="Calibri" w:hAnsi="Calibri"/>
                <w:b w:val="0"/>
                <w:i w:val="0"/>
                <w:color w:val="2B2F38"/>
                <w:sz w:val="19"/>
              </w:rPr>
              <w:t>Tasha Brooks</w:t>
            </w:r>
          </w:p>
        </w:tc>
        <w:tc>
          <w:tcPr>
            <w:tcW w:type="dxa" w:w="1521"/>
            <w:shd w:val="clear" w:color="auto" w:fill="FFFFFF"/>
          </w:tcPr>
          <w:p>
            <w:pPr>
              <w:spacing w:after="20"/>
              <w:jc w:val="right"/>
            </w:pPr>
            <w:r>
              <w:rPr>
                <w:rFonts w:ascii="Calibri" w:hAnsi="Calibri"/>
                <w:b w:val="0"/>
                <w:i w:val="0"/>
                <w:color w:val="2B2F38"/>
                <w:sz w:val="19"/>
              </w:rPr>
              <w:t>By Aug 1</w:t>
            </w:r>
          </w:p>
        </w:tc>
      </w:tr>
      <w:tr>
        <w:tc>
          <w:tcPr>
            <w:tcW w:type="dxa" w:w="475"/>
            <w:shd w:val="clear" w:color="auto" w:fill="F5F7F9"/>
          </w:tcPr>
          <w:p>
            <w:pPr>
              <w:spacing w:after="20"/>
            </w:pPr>
            <w:r>
              <w:rPr>
                <w:rFonts w:ascii="Calibri" w:hAnsi="Calibri"/>
                <w:b w:val="0"/>
                <w:i w:val="0"/>
                <w:color w:val="2B2F38"/>
                <w:sz w:val="19"/>
              </w:rPr>
              <w:t>4</w:t>
            </w:r>
          </w:p>
        </w:tc>
        <w:tc>
          <w:tcPr>
            <w:tcW w:type="dxa" w:w="5227"/>
            <w:shd w:val="clear" w:color="auto" w:fill="F5F7F9"/>
          </w:tcPr>
          <w:p>
            <w:pPr>
              <w:spacing w:after="20"/>
            </w:pPr>
            <w:r>
              <w:rPr>
                <w:rFonts w:ascii="Calibri" w:hAnsi="Calibri"/>
                <w:b w:val="0"/>
                <w:i w:val="0"/>
                <w:color w:val="2B2F38"/>
                <w:sz w:val="19"/>
              </w:rPr>
              <w:t>Build the pack around segment growth, not Crunchwell defence</w:t>
            </w:r>
          </w:p>
        </w:tc>
        <w:tc>
          <w:tcPr>
            <w:tcW w:type="dxa" w:w="2281"/>
            <w:shd w:val="clear" w:color="auto" w:fill="F5F7F9"/>
          </w:tcPr>
          <w:p>
            <w:pPr>
              <w:spacing w:after="20"/>
            </w:pPr>
            <w:r>
              <w:rPr>
                <w:rFonts w:ascii="Calibri" w:hAnsi="Calibri"/>
                <w:b w:val="0"/>
                <w:i w:val="0"/>
                <w:color w:val="2B2F38"/>
                <w:sz w:val="19"/>
              </w:rPr>
              <w:t>Priya Raman</w:t>
            </w:r>
          </w:p>
        </w:tc>
        <w:tc>
          <w:tcPr>
            <w:tcW w:type="dxa" w:w="1521"/>
            <w:shd w:val="clear" w:color="auto" w:fill="F5F7F9"/>
          </w:tcPr>
          <w:p>
            <w:pPr>
              <w:spacing w:after="20"/>
              <w:jc w:val="right"/>
            </w:pPr>
            <w:r>
              <w:rPr>
                <w:rFonts w:ascii="Calibri" w:hAnsi="Calibri"/>
                <w:b w:val="0"/>
                <w:i w:val="0"/>
                <w:color w:val="2B2F38"/>
                <w:sz w:val="19"/>
              </w:rPr>
              <w:t>October 2026</w:t>
            </w:r>
          </w:p>
        </w:tc>
      </w:tr>
    </w:tbl>
    <w:p>
      <w:pPr>
        <w:keepNext w:val="0"/>
        <w:spacing w:after="60" w:before="0" w:line="274" w:lineRule="auto"/>
      </w:pP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Calibri" w:hAnsi="Calibri"/>
        <w:color w:val="5B6472"/>
        <w:sz w:val="15"/>
      </w:rPr>
      <w:t xml:space="preserve">Internal · Confidential — Acme Corp synthetic demo data. Fictional; not for real decision-making.     </w:t>
    </w:r>
    <w:r>
      <w:rPr>
        <w:rFonts w:ascii="Calibri" w:hAnsi="Calibri"/>
        <w:b/>
        <w:color w:val="5B6472"/>
        <w:sz w:val="15"/>
      </w:rPr>
      <w:t>Kroger Nov LR prep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2B2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Kroger November 2026 Line Review — Preparation Brief</dc:title>
  <dc:subject/>
  <dc:creator>Acme Corp (synthetic)</dc:creator>
  <cp:keywords/>
  <dc:description>Internal preparation brief</dc:description>
  <cp:lastModifiedBy/>
  <cp:revision>1</cp:revision>
  <dcterms:created xsi:type="dcterms:W3CDTF">2013-12-23T23:15:00Z</dcterms:created>
  <dcterms:modified xsi:type="dcterms:W3CDTF">2013-12-23T23:15:00Z</dcterms:modified>
  <cp:category/>
</cp:coreProperties>
</file>